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604" w:lineRule="exact"/>
        <w:ind w:firstLine="640"/>
        <w:jc w:val="center"/>
        <w:rPr>
          <w:rFonts w:cs="方正小标宋简体" w:asciiTheme="majorEastAsia" w:hAnsiTheme="majorEastAsia" w:eastAsiaTheme="majorEastAsia"/>
          <w:b/>
          <w:sz w:val="44"/>
          <w:szCs w:val="44"/>
          <w:lang w:val="en-US" w:eastAsia="zh-CN" w:bidi="en-US"/>
        </w:rPr>
      </w:pPr>
      <w:r>
        <w:rPr>
          <w:rFonts w:hint="eastAsia" w:cs="方正小标宋简体" w:asciiTheme="majorEastAsia" w:hAnsiTheme="majorEastAsia" w:eastAsiaTheme="majorEastAsia"/>
          <w:b/>
          <w:sz w:val="44"/>
          <w:szCs w:val="44"/>
          <w:lang w:val="en-US" w:eastAsia="zh-CN" w:bidi="en-US"/>
        </w:rPr>
        <w:t>管城回族区2021—2022年</w:t>
      </w:r>
    </w:p>
    <w:p>
      <w:pPr>
        <w:pStyle w:val="11"/>
        <w:spacing w:line="604" w:lineRule="exact"/>
        <w:ind w:firstLine="640"/>
        <w:jc w:val="center"/>
        <w:rPr>
          <w:rFonts w:cs="方正小标宋简体" w:asciiTheme="majorEastAsia" w:hAnsiTheme="majorEastAsia" w:eastAsiaTheme="majorEastAsia"/>
          <w:b/>
          <w:sz w:val="44"/>
          <w:szCs w:val="44"/>
          <w:lang w:val="en-US" w:eastAsia="zh-CN" w:bidi="en-US"/>
        </w:rPr>
      </w:pPr>
      <w:r>
        <w:rPr>
          <w:rFonts w:hint="eastAsia" w:cs="方正小标宋简体" w:asciiTheme="majorEastAsia" w:hAnsiTheme="majorEastAsia" w:eastAsiaTheme="majorEastAsia"/>
          <w:b/>
          <w:sz w:val="44"/>
          <w:szCs w:val="44"/>
          <w:lang w:val="en-US" w:eastAsia="zh-CN" w:bidi="en-US"/>
        </w:rPr>
        <w:t>秋冬季大气污染防治攻坚行动方案</w:t>
      </w:r>
    </w:p>
    <w:p>
      <w:pPr>
        <w:pStyle w:val="11"/>
        <w:spacing w:after="240" w:afterLines="100" w:line="560" w:lineRule="exact"/>
        <w:ind w:firstLine="0"/>
        <w:jc w:val="center"/>
        <w:rPr>
          <w:rFonts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pStyle w:val="11"/>
        <w:spacing w:line="560" w:lineRule="exact"/>
        <w:ind w:firstLine="640"/>
        <w:jc w:val="both"/>
        <w:rPr>
          <w:rFonts w:ascii="仿宋_GB2312" w:hAnsi="仿宋_GB2312" w:eastAsia="仿宋_GB2312" w:cs="仿宋_GB2312"/>
          <w:sz w:val="32"/>
          <w:szCs w:val="32"/>
          <w:lang w:val="en-US" w:eastAsia="zh-CN" w:bidi="en-US"/>
        </w:rPr>
      </w:pPr>
      <w:r>
        <w:rPr>
          <w:rFonts w:hint="eastAsia" w:ascii="仿宋_GB2312" w:hAnsi="仿宋_GB2312" w:eastAsia="仿宋_GB2312" w:cs="仿宋_GB2312"/>
          <w:sz w:val="32"/>
          <w:szCs w:val="32"/>
          <w:lang w:val="en-US" w:eastAsia="zh-CN" w:bidi="en-US"/>
        </w:rPr>
        <w:t>为扎实做好秋冬季大气污染防治工作，圆满完成各项既定目 标任务，持续改善环境空气质量，在严格落实生态环境部《2021—2022年秋冬季大气污染综合治理攻坚方案》和省、市相关要求的基础上，结合我区重点工作，制定本方案。</w:t>
      </w:r>
    </w:p>
    <w:p>
      <w:pPr>
        <w:pStyle w:val="11"/>
        <w:spacing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、总体要求</w:t>
      </w:r>
    </w:p>
    <w:p>
      <w:pPr>
        <w:pStyle w:val="11"/>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以习近平生态文明思想为指导，严格落实减污降碳总要求， 以减少重污染天气和降低</w:t>
      </w:r>
      <w:r>
        <w:rPr>
          <w:rFonts w:hint="eastAsia" w:ascii="仿宋_GB2312" w:hAnsi="仿宋_GB2312" w:eastAsia="仿宋_GB2312" w:cs="仿宋_GB2312"/>
          <w:sz w:val="32"/>
          <w:szCs w:val="32"/>
          <w:lang w:val="en-US" w:eastAsia="zh-CN" w:bidi="en-US"/>
        </w:rPr>
        <w:t>PM2.</w:t>
      </w:r>
      <w:r>
        <w:rPr>
          <w:rFonts w:hint="eastAsia" w:ascii="仿宋_GB2312" w:hAnsi="仿宋_GB2312" w:eastAsia="仿宋_GB2312" w:cs="仿宋_GB2312"/>
          <w:sz w:val="32"/>
          <w:szCs w:val="32"/>
        </w:rPr>
        <w:t>5浓度为主要目标，坚持标本兼治、远近结合，突出精准治污、科学治污、依法治污，坚持方向不变、力度不减，强化移动源、工业源、扬尘源、燃煤散烧等污染治理和重污染天气应对，促进环境空气质量持续改善，确保完成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下达的空气质量改善目标任务。</w:t>
      </w:r>
    </w:p>
    <w:p>
      <w:pPr>
        <w:pStyle w:val="11"/>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二、工作目标</w:t>
      </w:r>
    </w:p>
    <w:p>
      <w:pPr>
        <w:pStyle w:val="11"/>
        <w:spacing w:line="560" w:lineRule="exact"/>
        <w:ind w:firstLine="64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2021年10月1日至2022年3月31日，全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细颗粒物 </w:t>
      </w:r>
      <w:r>
        <w:rPr>
          <w:rFonts w:hint="eastAsia" w:ascii="仿宋_GB2312" w:hAnsi="仿宋_GB2312" w:eastAsia="仿宋_GB2312" w:cs="仿宋_GB2312"/>
          <w:sz w:val="32"/>
          <w:szCs w:val="32"/>
          <w:lang w:val="en-US" w:eastAsia="zh-CN" w:bidi="en-US"/>
        </w:rPr>
        <w:t xml:space="preserve">(PM2. </w:t>
      </w:r>
      <w:r>
        <w:rPr>
          <w:rFonts w:hint="eastAsia" w:ascii="仿宋_GB2312" w:hAnsi="仿宋_GB2312" w:eastAsia="仿宋_GB2312" w:cs="仿宋_GB2312"/>
          <w:sz w:val="32"/>
          <w:szCs w:val="32"/>
        </w:rPr>
        <w:t>5)平均浓度控制在65微克/立方米以下，重度及以上污染天数不得超过9天</w:t>
      </w:r>
      <w:r>
        <w:rPr>
          <w:rFonts w:hint="eastAsia" w:ascii="仿宋_GB2312" w:hAnsi="仿宋_GB2312" w:eastAsia="仿宋_GB2312" w:cs="仿宋_GB2312"/>
          <w:sz w:val="32"/>
          <w:szCs w:val="32"/>
          <w:lang w:eastAsia="zh-CN"/>
        </w:rPr>
        <w:t>。</w:t>
      </w:r>
    </w:p>
    <w:p>
      <w:pPr>
        <w:pStyle w:val="11"/>
        <w:spacing w:line="560" w:lineRule="exact"/>
        <w:ind w:firstLine="640"/>
        <w:jc w:val="both"/>
        <w:rPr>
          <w:rFonts w:ascii="黑体" w:hAnsi="黑体" w:eastAsia="黑体" w:cs="黑体"/>
          <w:sz w:val="32"/>
          <w:szCs w:val="32"/>
          <w:lang w:eastAsia="zh-CN"/>
        </w:rPr>
      </w:pPr>
      <w:r>
        <w:rPr>
          <w:rFonts w:hint="eastAsia" w:ascii="黑体" w:hAnsi="黑体" w:eastAsia="黑体" w:cs="黑体"/>
          <w:sz w:val="32"/>
          <w:szCs w:val="32"/>
          <w:lang w:eastAsia="zh-CN"/>
        </w:rPr>
        <w:t>三、重点工作任务</w:t>
      </w:r>
    </w:p>
    <w:p>
      <w:pPr>
        <w:pStyle w:val="11"/>
        <w:spacing w:line="560" w:lineRule="exact"/>
        <w:ind w:firstLine="640"/>
        <w:jc w:val="both"/>
        <w:rPr>
          <w:rFonts w:ascii="楷体" w:hAnsi="楷体" w:eastAsia="楷体" w:cs="楷体"/>
          <w:sz w:val="32"/>
          <w:szCs w:val="32"/>
          <w:lang w:eastAsia="zh-CN"/>
        </w:rPr>
      </w:pPr>
      <w:r>
        <w:rPr>
          <w:rFonts w:hint="eastAsia" w:ascii="楷体_GB2312" w:hAnsi="楷体_GB2312" w:eastAsia="楷体_GB2312" w:cs="楷体_GB2312"/>
          <w:sz w:val="32"/>
          <w:szCs w:val="32"/>
          <w:lang w:eastAsia="zh-CN"/>
        </w:rPr>
        <w:t>（一）坚决遏制“两高”项目盲目发展</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全面梳理排查全区“两高”项目，对“两高”项目实行清单管</w:t>
      </w:r>
      <w:r>
        <w:rPr>
          <w:rFonts w:hint="eastAsia" w:ascii="仿宋_GB2312" w:hAnsi="仿宋_GB2312" w:eastAsia="仿宋_GB2312" w:cs="仿宋_GB2312"/>
          <w:sz w:val="32"/>
          <w:szCs w:val="32"/>
        </w:rPr>
        <w:t xml:space="preserve">理，严格落实政策要求，分类组织实施。对于存量项目， 对标国内领先水平，强化节能改造，加快淘汰落后产能；对于在 建项目，逐一评估检查，推动能效水平应提尽提，不符合能效标准的项目按有关规定停工整改；对于拟建项目，统筹考虑能耗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、碳排放、产业高质量发展和环境质量等因素，从严控制项目准入，严控钢铁、电解铝、平板玻璃、水泥等行业新建、扩建过剩产能项目，实施产能减量置换。严厉打击“</w:t>
      </w:r>
      <w:r>
        <w:rPr>
          <w:rFonts w:hint="eastAsia" w:ascii="仿宋_GB2312" w:hAnsi="仿宋_GB2312" w:eastAsia="仿宋_GB2312" w:cs="仿宋_GB2312"/>
          <w:sz w:val="32"/>
          <w:szCs w:val="32"/>
          <w:lang w:val="zh-CN" w:eastAsia="zh-CN" w:bidi="zh-CN"/>
        </w:rPr>
        <w:t>两高"</w:t>
      </w:r>
      <w:r>
        <w:rPr>
          <w:rFonts w:hint="eastAsia" w:ascii="仿宋_GB2312" w:hAnsi="仿宋_GB2312" w:eastAsia="仿宋_GB2312" w:cs="仿宋_GB2312"/>
          <w:sz w:val="32"/>
          <w:szCs w:val="32"/>
        </w:rPr>
        <w:t>企业无证排污、不按证排污等各类违法行为，及时曝光违反排污许可制度的典型案例。</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w:t>
      </w:r>
    </w:p>
    <w:p>
      <w:pPr>
        <w:pStyle w:val="11"/>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434"/>
        </w:tabs>
        <w:spacing w:line="560" w:lineRule="exact"/>
        <w:ind w:firstLine="640"/>
        <w:jc w:val="both"/>
        <w:rPr>
          <w:rFonts w:ascii="仿宋_GB2312" w:hAnsi="仿宋_GB2312" w:eastAsia="仿宋_GB2312" w:cs="仿宋_GB2312"/>
          <w:sz w:val="32"/>
          <w:szCs w:val="32"/>
        </w:rPr>
      </w:pPr>
      <w:bookmarkStart w:id="0" w:name="bookmark10"/>
      <w:r>
        <w:rPr>
          <w:rFonts w:hint="eastAsia" w:ascii="楷体_GB2312" w:hAnsi="楷体_GB2312" w:eastAsia="楷体_GB2312" w:cs="楷体_GB2312"/>
          <w:sz w:val="32"/>
          <w:szCs w:val="32"/>
          <w:lang w:eastAsia="zh-CN"/>
        </w:rPr>
        <w:t>（</w:t>
      </w:r>
      <w:bookmarkEnd w:id="0"/>
      <w:r>
        <w:rPr>
          <w:rFonts w:hint="eastAsia" w:ascii="楷体_GB2312" w:hAnsi="楷体_GB2312" w:eastAsia="楷体_GB2312" w:cs="楷体_GB2312"/>
          <w:sz w:val="32"/>
          <w:szCs w:val="32"/>
          <w:lang w:eastAsia="zh-CN"/>
        </w:rPr>
        <w:t>二）落实重点行业减排相关要求</w:t>
      </w:r>
    </w:p>
    <w:p>
      <w:pPr>
        <w:pStyle w:val="11"/>
        <w:tabs>
          <w:tab w:val="left" w:pos="1031"/>
        </w:tabs>
        <w:spacing w:line="560" w:lineRule="exact"/>
        <w:ind w:firstLine="640" w:firstLineChars="200"/>
        <w:jc w:val="both"/>
        <w:rPr>
          <w:rFonts w:ascii="仿宋_GB2312" w:hAnsi="仿宋_GB2312" w:eastAsia="仿宋_GB2312" w:cs="仿宋_GB2312"/>
          <w:sz w:val="32"/>
          <w:szCs w:val="32"/>
          <w:lang w:eastAsia="zh-CN"/>
        </w:rPr>
      </w:pPr>
      <w:bookmarkStart w:id="1" w:name="bookmark11"/>
      <w:bookmarkEnd w:id="1"/>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加快推进重点行业产能压减和退出工作。2021年12月底 前，</w:t>
      </w:r>
      <w:r>
        <w:rPr>
          <w:rFonts w:hint="eastAsia" w:ascii="仿宋_GB2312" w:hAnsi="仿宋_GB2312" w:eastAsia="仿宋_GB2312" w:cs="仿宋_GB2312"/>
          <w:sz w:val="32"/>
          <w:szCs w:val="32"/>
          <w:lang w:val="en-US" w:eastAsia="zh-CN"/>
        </w:rPr>
        <w:t>配合完成全市水泥等重点行业产能压减工作。</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397"/>
        </w:tabs>
        <w:spacing w:line="560" w:lineRule="exact"/>
        <w:ind w:firstLine="640" w:firstLineChars="200"/>
        <w:jc w:val="both"/>
        <w:rPr>
          <w:rFonts w:ascii="仿宋_GB2312" w:hAnsi="仿宋_GB2312" w:eastAsia="仿宋_GB2312" w:cs="仿宋_GB2312"/>
          <w:color w:val="auto"/>
          <w:sz w:val="32"/>
          <w:szCs w:val="32"/>
        </w:rPr>
      </w:pPr>
      <w:bookmarkStart w:id="2" w:name="bookmark12"/>
      <w:bookmarkEnd w:id="2"/>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严格落实重点行业错峰生产。按照国家、省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 xml:space="preserve">有关要求, </w:t>
      </w:r>
      <w:r>
        <w:rPr>
          <w:rFonts w:hint="eastAsia" w:ascii="仿宋_GB2312" w:hAnsi="仿宋_GB2312" w:eastAsia="仿宋_GB2312" w:cs="仿宋_GB2312"/>
          <w:color w:val="auto"/>
          <w:sz w:val="32"/>
          <w:szCs w:val="32"/>
          <w:lang w:eastAsia="zh-CN"/>
        </w:rPr>
        <w:t>配合全市</w:t>
      </w:r>
      <w:r>
        <w:rPr>
          <w:rFonts w:hint="eastAsia" w:ascii="仿宋_GB2312" w:hAnsi="仿宋_GB2312" w:eastAsia="仿宋_GB2312" w:cs="仿宋_GB2312"/>
          <w:color w:val="auto"/>
          <w:sz w:val="32"/>
          <w:szCs w:val="32"/>
        </w:rPr>
        <w:t>抓好水泥等重点行业秋冬季错峰生产工作。</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434"/>
        </w:tabs>
        <w:spacing w:line="560" w:lineRule="exact"/>
        <w:ind w:firstLine="640"/>
        <w:jc w:val="both"/>
        <w:rPr>
          <w:rFonts w:ascii="楷体_GB2312" w:hAnsi="楷体_GB2312" w:eastAsia="楷体_GB2312" w:cs="楷体_GB2312"/>
          <w:sz w:val="32"/>
          <w:szCs w:val="32"/>
          <w:lang w:eastAsia="zh-CN"/>
        </w:rPr>
      </w:pPr>
      <w:bookmarkStart w:id="3" w:name="bookmark13"/>
      <w:bookmarkEnd w:id="3"/>
      <w:bookmarkStart w:id="4" w:name="bookmark14"/>
      <w:r>
        <w:rPr>
          <w:rFonts w:hint="eastAsia" w:ascii="楷体_GB2312" w:hAnsi="楷体_GB2312" w:eastAsia="楷体_GB2312" w:cs="楷体_GB2312"/>
          <w:sz w:val="32"/>
          <w:szCs w:val="32"/>
          <w:lang w:eastAsia="zh-CN"/>
        </w:rPr>
        <w:t>（</w:t>
      </w:r>
      <w:bookmarkEnd w:id="4"/>
      <w:r>
        <w:rPr>
          <w:rFonts w:hint="eastAsia" w:ascii="楷体_GB2312" w:hAnsi="楷体_GB2312" w:eastAsia="楷体_GB2312" w:cs="楷体_GB2312"/>
          <w:sz w:val="32"/>
          <w:szCs w:val="32"/>
          <w:lang w:eastAsia="zh-CN"/>
        </w:rPr>
        <w:t>三）积极稳妥实施散煤治理</w:t>
      </w:r>
    </w:p>
    <w:p>
      <w:pPr>
        <w:pStyle w:val="11"/>
        <w:tabs>
          <w:tab w:val="left" w:pos="1018"/>
        </w:tabs>
        <w:spacing w:line="560" w:lineRule="exact"/>
        <w:ind w:firstLine="640" w:firstLineChars="200"/>
        <w:jc w:val="both"/>
        <w:rPr>
          <w:rFonts w:ascii="仿宋_GB2312" w:hAnsi="仿宋_GB2312" w:eastAsia="仿宋_GB2312" w:cs="仿宋_GB2312"/>
          <w:sz w:val="32"/>
          <w:szCs w:val="32"/>
        </w:rPr>
      </w:pPr>
      <w:bookmarkStart w:id="5" w:name="bookmark15"/>
      <w:bookmarkEnd w:id="5"/>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加快划定高污染燃料禁燃区。依法将整体完成清洁取暖 改造并稳定运行的地区划定为高污染燃料禁燃区。</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021"/>
        </w:tabs>
        <w:spacing w:line="560" w:lineRule="exact"/>
        <w:ind w:firstLine="640" w:firstLineChars="200"/>
        <w:jc w:val="both"/>
        <w:rPr>
          <w:rFonts w:ascii="仿宋_GB2312" w:hAnsi="仿宋_GB2312" w:eastAsia="仿宋_GB2312" w:cs="仿宋_GB2312"/>
          <w:sz w:val="32"/>
          <w:szCs w:val="32"/>
        </w:rPr>
      </w:pPr>
      <w:bookmarkStart w:id="6" w:name="bookmark16"/>
      <w:bookmarkEnd w:id="6"/>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严控散煤复烧。持续开展散煤燃烧专项治理，重点排查农村、城乡结合部等散煤治理薄弱部位，打击非法销售、燃用散煤行为。对辖区内发现违规使用散煤的，按照责任追究办法对</w:t>
      </w:r>
      <w:r>
        <w:rPr>
          <w:rFonts w:hint="eastAsia" w:ascii="仿宋_GB2312" w:hAnsi="仿宋_GB2312" w:eastAsia="仿宋_GB2312" w:cs="仿宋_GB2312"/>
          <w:sz w:val="32"/>
          <w:szCs w:val="32"/>
          <w:lang w:eastAsia="zh-CN"/>
        </w:rPr>
        <w:t>办事处（园区）</w:t>
      </w:r>
      <w:r>
        <w:rPr>
          <w:rFonts w:hint="eastAsia" w:ascii="仿宋_GB2312" w:hAnsi="仿宋_GB2312" w:eastAsia="仿宋_GB2312" w:cs="仿宋_GB2312"/>
          <w:sz w:val="32"/>
          <w:szCs w:val="32"/>
        </w:rPr>
        <w:t>政府进行量化追责</w:t>
      </w:r>
      <w:r>
        <w:rPr>
          <w:rFonts w:hint="eastAsia" w:ascii="仿宋_GB2312" w:hAnsi="仿宋_GB2312" w:eastAsia="仿宋_GB2312" w:cs="仿宋_GB2312"/>
          <w:sz w:val="32"/>
          <w:szCs w:val="32"/>
          <w:lang w:eastAsia="zh-CN"/>
        </w:rPr>
        <w:t>。</w:t>
      </w:r>
    </w:p>
    <w:p>
      <w:pPr>
        <w:pStyle w:val="11"/>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市场监管局</w:t>
      </w:r>
    </w:p>
    <w:p>
      <w:pPr>
        <w:pStyle w:val="11"/>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eastAsia="zh-CN"/>
        </w:rPr>
        <w:t>区城建交通</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024"/>
        </w:tabs>
        <w:spacing w:line="560" w:lineRule="exact"/>
        <w:ind w:firstLine="640" w:firstLineChars="200"/>
        <w:jc w:val="both"/>
        <w:rPr>
          <w:rFonts w:ascii="仿宋_GB2312" w:hAnsi="仿宋_GB2312" w:eastAsia="仿宋_GB2312" w:cs="仿宋_GB2312"/>
          <w:sz w:val="32"/>
          <w:szCs w:val="32"/>
        </w:rPr>
      </w:pPr>
      <w:bookmarkStart w:id="7" w:name="bookmark17"/>
      <w:bookmarkEnd w:id="7"/>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全力做好气源、电源供应保障。</w:t>
      </w:r>
      <w:r>
        <w:rPr>
          <w:rFonts w:hint="eastAsia" w:ascii="仿宋_GB2312" w:hAnsi="仿宋_GB2312" w:eastAsia="仿宋_GB2312" w:cs="仿宋_GB2312"/>
          <w:sz w:val="32"/>
          <w:szCs w:val="32"/>
          <w:lang w:eastAsia="zh-CN"/>
        </w:rPr>
        <w:t>配合完成郑州市</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zh-CN" w:eastAsia="zh-CN" w:bidi="zh-CN"/>
        </w:rPr>
        <w:t>“煤</w:t>
      </w:r>
      <w:r>
        <w:rPr>
          <w:rFonts w:hint="eastAsia" w:ascii="仿宋_GB2312" w:hAnsi="仿宋_GB2312" w:eastAsia="仿宋_GB2312" w:cs="仿宋_GB2312"/>
          <w:sz w:val="32"/>
          <w:szCs w:val="32"/>
        </w:rPr>
        <w:t>改电"用户电力供应保障，做好配套电网设施运行维护，确保清洁取暖用户温暖过冬，积极采用可再生能源供暖方式，提高能源利用效率。</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spacing w:line="560" w:lineRule="exact"/>
        <w:ind w:firstLine="640"/>
        <w:jc w:val="both"/>
        <w:rPr>
          <w:rFonts w:ascii="仿宋_GB2312" w:hAnsi="仿宋_GB2312" w:eastAsia="仿宋_GB2312" w:cs="仿宋_GB2312"/>
          <w:sz w:val="32"/>
          <w:szCs w:val="32"/>
        </w:rPr>
      </w:pPr>
      <w:bookmarkStart w:id="8" w:name="bookmark18"/>
      <w:bookmarkEnd w:id="8"/>
      <w:bookmarkStart w:id="9" w:name="bookmark19"/>
      <w:r>
        <w:rPr>
          <w:rFonts w:hint="eastAsia" w:ascii="楷体_GB2312" w:hAnsi="楷体_GB2312" w:eastAsia="楷体_GB2312" w:cs="楷体_GB2312"/>
          <w:sz w:val="32"/>
          <w:szCs w:val="32"/>
          <w:lang w:eastAsia="zh-CN"/>
        </w:rPr>
        <w:t>（</w:t>
      </w:r>
      <w:bookmarkEnd w:id="9"/>
      <w:r>
        <w:rPr>
          <w:rFonts w:hint="eastAsia" w:ascii="楷体_GB2312" w:hAnsi="楷体_GB2312" w:eastAsia="楷体_GB2312" w:cs="楷体_GB2312"/>
          <w:sz w:val="32"/>
          <w:szCs w:val="32"/>
          <w:lang w:eastAsia="zh-CN"/>
        </w:rPr>
        <w:t>四）深入开展锅炉和炉窑综合整治</w:t>
      </w:r>
    </w:p>
    <w:p>
      <w:pPr>
        <w:pStyle w:val="11"/>
        <w:numPr>
          <w:ilvl w:val="0"/>
          <w:numId w:val="1"/>
        </w:numPr>
        <w:tabs>
          <w:tab w:val="left" w:pos="1024"/>
        </w:tabs>
        <w:spacing w:line="560" w:lineRule="exact"/>
        <w:ind w:firstLine="640"/>
        <w:jc w:val="both"/>
        <w:rPr>
          <w:rFonts w:ascii="仿宋_GB2312" w:hAnsi="仿宋_GB2312" w:eastAsia="仿宋_GB2312" w:cs="仿宋_GB2312"/>
          <w:sz w:val="32"/>
          <w:szCs w:val="32"/>
        </w:rPr>
      </w:pPr>
      <w:bookmarkStart w:id="10" w:name="bookmark20"/>
      <w:bookmarkEnd w:id="10"/>
      <w:r>
        <w:rPr>
          <w:rFonts w:hint="eastAsia" w:ascii="仿宋_GB2312" w:hAnsi="仿宋_GB2312" w:eastAsia="仿宋_GB2312" w:cs="仿宋_GB2312"/>
          <w:sz w:val="32"/>
          <w:szCs w:val="32"/>
        </w:rPr>
        <w:t>实施锅炉、炉窑大气污染治理设施升级改造。全面开展锅炉、炉窑排查抽测，对不能稳定达标排放的依法依规处罚。采 用氧化镁、氨法、单碱法、双碱法等脱硫工艺的，采用</w:t>
      </w:r>
      <w:r>
        <w:rPr>
          <w:rFonts w:hint="eastAsia" w:ascii="仿宋_GB2312" w:hAnsi="仿宋_GB2312" w:eastAsia="仿宋_GB2312" w:cs="仿宋_GB2312"/>
          <w:sz w:val="32"/>
          <w:szCs w:val="32"/>
          <w:lang w:val="en-US" w:eastAsia="zh-CN" w:bidi="en-US"/>
        </w:rPr>
        <w:t>SCR</w:t>
      </w:r>
      <w:r>
        <w:rPr>
          <w:rFonts w:hint="eastAsia" w:ascii="仿宋_GB2312" w:hAnsi="仿宋_GB2312" w:eastAsia="仿宋_GB2312" w:cs="仿宋_GB2312"/>
          <w:sz w:val="32"/>
          <w:szCs w:val="32"/>
        </w:rPr>
        <w:t>脱硝工艺的，在秋冬季前要完成一次检修，确保稳定运行。加强燃气锅炉运维检查，确保达到特别排放限值。推动燃气锅炉取消烟气再循环系统开关阀，确有必要保留的，要设置电动阀、气动阀或铅封等方式加强监管。生物质锅炉应采用专用锅炉，配套旋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布袋等高效除尘设施，禁止掺烧煤炭、垃圾、工业固体废物等其他物料。煤气锅炉应采用精脱硫煤气为燃料或配备高效脱硫设 施。</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434"/>
        </w:tabs>
        <w:spacing w:line="560" w:lineRule="exact"/>
        <w:ind w:firstLine="640"/>
        <w:jc w:val="both"/>
        <w:rPr>
          <w:rFonts w:ascii="楷体_GB2312" w:hAnsi="楷体_GB2312" w:eastAsia="楷体_GB2312" w:cs="楷体_GB2312"/>
          <w:sz w:val="32"/>
          <w:szCs w:val="32"/>
          <w:lang w:eastAsia="zh-CN"/>
        </w:rPr>
      </w:pPr>
      <w:bookmarkStart w:id="11" w:name="bookmark21"/>
      <w:r>
        <w:rPr>
          <w:rFonts w:hint="eastAsia" w:ascii="楷体_GB2312" w:hAnsi="楷体_GB2312" w:eastAsia="楷体_GB2312" w:cs="楷体_GB2312"/>
          <w:sz w:val="32"/>
          <w:szCs w:val="32"/>
          <w:lang w:eastAsia="zh-CN"/>
        </w:rPr>
        <w:t>（</w:t>
      </w:r>
      <w:bookmarkEnd w:id="11"/>
      <w:r>
        <w:rPr>
          <w:rFonts w:hint="eastAsia" w:ascii="楷体_GB2312" w:hAnsi="楷体_GB2312" w:eastAsia="楷体_GB2312" w:cs="楷体_GB2312"/>
          <w:sz w:val="32"/>
          <w:szCs w:val="32"/>
          <w:lang w:eastAsia="zh-CN"/>
        </w:rPr>
        <w:t>五）扎实推进</w:t>
      </w:r>
      <w:r>
        <w:rPr>
          <w:rFonts w:hint="eastAsia" w:ascii="楷体_GB2312" w:hAnsi="楷体_GB2312" w:eastAsia="楷体_GB2312" w:cs="楷体_GB2312"/>
          <w:sz w:val="32"/>
          <w:szCs w:val="32"/>
          <w:lang w:val="en-US" w:eastAsia="zh-CN"/>
        </w:rPr>
        <w:t>VOCs</w:t>
      </w:r>
      <w:r>
        <w:rPr>
          <w:rFonts w:hint="eastAsia" w:ascii="楷体_GB2312" w:hAnsi="楷体_GB2312" w:eastAsia="楷体_GB2312" w:cs="楷体_GB2312"/>
          <w:sz w:val="32"/>
          <w:szCs w:val="32"/>
          <w:lang w:eastAsia="zh-CN"/>
        </w:rPr>
        <w:t>治理突出问题排查整治</w:t>
      </w:r>
    </w:p>
    <w:p>
      <w:pPr>
        <w:pStyle w:val="11"/>
        <w:tabs>
          <w:tab w:val="left" w:pos="1190"/>
        </w:tabs>
        <w:spacing w:line="560" w:lineRule="exact"/>
        <w:ind w:firstLine="640" w:firstLineChars="200"/>
        <w:jc w:val="both"/>
        <w:rPr>
          <w:rFonts w:ascii="仿宋_GB2312" w:hAnsi="仿宋_GB2312" w:eastAsia="仿宋_GB2312" w:cs="仿宋_GB2312"/>
          <w:sz w:val="32"/>
          <w:szCs w:val="32"/>
          <w:highlight w:val="yellow"/>
        </w:rPr>
      </w:pPr>
      <w:bookmarkStart w:id="12" w:name="bookmark22"/>
      <w:bookmarkEnd w:id="12"/>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加强涉</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企业检查。组织企业针对挥发性有机液体储罐、装卸、敞开液面、泄漏检测与修复、废气收集、废气旁路、治理设施、加油站、非正常工况、产品</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含量等10个关键环节完成一轮排查工作；生态环境部门对企业排查情况开展检查抽测，对排污许可重点管理企业全覆盖。2021年12月底前，对检查抽测以及夏季臭氧污染防治监督帮扶工作中发现存在的突出问题，指导企业制定整改方案，按照治理要求进行整治。</w:t>
      </w:r>
      <w:r>
        <w:rPr>
          <w:rFonts w:hint="eastAsia" w:ascii="仿宋_GB2312" w:hAnsi="仿宋_GB2312" w:eastAsia="仿宋_GB2312" w:cs="仿宋_GB2312"/>
          <w:sz w:val="32"/>
          <w:szCs w:val="32"/>
          <w:lang w:val="en-US" w:eastAsia="zh-CN"/>
        </w:rPr>
        <w:t>配合完成全市对涉</w:t>
      </w:r>
      <w:r>
        <w:rPr>
          <w:rFonts w:hint="eastAsia" w:ascii="仿宋_GB2312" w:hAnsi="仿宋_GB2312" w:eastAsia="仿宋_GB2312" w:cs="仿宋_GB2312"/>
          <w:sz w:val="32"/>
          <w:szCs w:val="32"/>
          <w:lang w:val="en-US" w:eastAsia="zh-CN" w:bidi="en-US"/>
        </w:rPr>
        <w:t>LDAR</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抽测和检查工作。</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90"/>
        </w:tabs>
        <w:spacing w:line="560" w:lineRule="exact"/>
        <w:ind w:firstLine="640" w:firstLineChars="200"/>
        <w:jc w:val="both"/>
        <w:rPr>
          <w:rFonts w:ascii="仿宋_GB2312" w:hAnsi="仿宋_GB2312" w:eastAsia="仿宋_GB2312" w:cs="仿宋_GB2312"/>
          <w:sz w:val="32"/>
          <w:szCs w:val="32"/>
        </w:rPr>
      </w:pPr>
      <w:bookmarkStart w:id="13" w:name="bookmark23"/>
      <w:bookmarkEnd w:id="13"/>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加快重点行业综合治理。2021年12月底前，</w:t>
      </w:r>
      <w:r>
        <w:rPr>
          <w:rFonts w:hint="eastAsia" w:ascii="仿宋_GB2312" w:hAnsi="仿宋_GB2312" w:eastAsia="仿宋_GB2312" w:cs="仿宋_GB2312"/>
          <w:sz w:val="32"/>
          <w:szCs w:val="32"/>
          <w:lang w:val="en-US" w:eastAsia="zh-CN"/>
        </w:rPr>
        <w:t>配合完成全市</w:t>
      </w:r>
      <w:r>
        <w:rPr>
          <w:rFonts w:hint="eastAsia" w:ascii="仿宋_GB2312" w:hAnsi="仿宋_GB2312" w:eastAsia="仿宋_GB2312" w:cs="仿宋_GB2312"/>
          <w:sz w:val="32"/>
          <w:szCs w:val="32"/>
        </w:rPr>
        <w:t xml:space="preserve">工业涂装、包装印刷、家具制造、机械制造、汽车等企业低 </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含量涂料或油墨源头替代；工业涂装、包装印刷企业无组织排放控制；工业涂装、包装印刷、家具制造、铝压延、制鞋企业高效治污设施升级改造</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sz w:val="32"/>
          <w:szCs w:val="32"/>
        </w:rPr>
        <w:t>。</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87"/>
        </w:tabs>
        <w:spacing w:line="560" w:lineRule="exact"/>
        <w:ind w:firstLine="640" w:firstLineChars="200"/>
        <w:jc w:val="both"/>
        <w:rPr>
          <w:rFonts w:ascii="仿宋_GB2312" w:hAnsi="仿宋_GB2312" w:eastAsia="仿宋_GB2312" w:cs="仿宋_GB2312"/>
          <w:sz w:val="32"/>
          <w:szCs w:val="32"/>
        </w:rPr>
      </w:pPr>
      <w:bookmarkStart w:id="14" w:name="bookmark24"/>
      <w:bookmarkEnd w:id="14"/>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开展涉</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产品质量监督检查。加强对全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生产、销售涉</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产品的监督检查，2021年12月底前，</w:t>
      </w:r>
      <w:r>
        <w:rPr>
          <w:rFonts w:hint="eastAsia" w:ascii="仿宋_GB2312" w:hAnsi="仿宋_GB2312" w:eastAsia="仿宋_GB2312" w:cs="仿宋_GB2312"/>
          <w:sz w:val="32"/>
          <w:szCs w:val="32"/>
          <w:lang w:val="en-US" w:eastAsia="zh-CN"/>
        </w:rPr>
        <w:t>配合完成全市</w:t>
      </w:r>
      <w:r>
        <w:rPr>
          <w:rFonts w:hint="eastAsia" w:ascii="仿宋_GB2312" w:hAnsi="仿宋_GB2312" w:eastAsia="仿宋_GB2312" w:cs="仿宋_GB2312"/>
          <w:sz w:val="32"/>
          <w:szCs w:val="32"/>
        </w:rPr>
        <w:t>涉</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产品质量抽检</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87"/>
        </w:tabs>
        <w:spacing w:line="560" w:lineRule="exact"/>
        <w:ind w:firstLine="640" w:firstLineChars="200"/>
        <w:jc w:val="both"/>
        <w:rPr>
          <w:rFonts w:ascii="仿宋_GB2312" w:hAnsi="仿宋_GB2312" w:eastAsia="仿宋_GB2312" w:cs="仿宋_GB2312"/>
          <w:sz w:val="32"/>
          <w:szCs w:val="32"/>
        </w:rPr>
      </w:pPr>
      <w:bookmarkStart w:id="15" w:name="bookmark25"/>
      <w:bookmarkEnd w:id="15"/>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加强自动监控设施安装。2021年12月底前，完成1家涉</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郑州黄金叶实业总公司（印刷）</w:t>
      </w:r>
      <w:r>
        <w:rPr>
          <w:rFonts w:hint="eastAsia" w:ascii="仿宋_GB2312" w:hAnsi="仿宋_GB2312" w:eastAsia="仿宋_GB2312" w:cs="仿宋_GB2312"/>
          <w:sz w:val="32"/>
          <w:szCs w:val="32"/>
        </w:rPr>
        <w:t>完成在线监控设施建设工作。</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陇海马路街道办事处</w:t>
      </w:r>
    </w:p>
    <w:p>
      <w:pPr>
        <w:pStyle w:val="11"/>
        <w:spacing w:line="560" w:lineRule="exact"/>
        <w:ind w:firstLine="640"/>
        <w:jc w:val="both"/>
        <w:rPr>
          <w:rFonts w:ascii="仿宋_GB2312" w:hAnsi="仿宋_GB2312" w:eastAsia="仿宋_GB2312" w:cs="仿宋_GB2312"/>
          <w:sz w:val="32"/>
          <w:szCs w:val="32"/>
        </w:rPr>
      </w:pPr>
      <w:bookmarkStart w:id="16" w:name="bookmark26"/>
      <w:r>
        <w:rPr>
          <w:rFonts w:hint="eastAsia" w:ascii="楷体_GB2312" w:hAnsi="楷体_GB2312" w:eastAsia="楷体_GB2312" w:cs="楷体_GB2312"/>
          <w:sz w:val="32"/>
          <w:szCs w:val="32"/>
          <w:lang w:eastAsia="zh-CN"/>
        </w:rPr>
        <w:t>（</w:t>
      </w:r>
      <w:bookmarkEnd w:id="16"/>
      <w:r>
        <w:rPr>
          <w:rFonts w:hint="eastAsia" w:ascii="楷体_GB2312" w:hAnsi="楷体_GB2312" w:eastAsia="楷体_GB2312" w:cs="楷体_GB2312"/>
          <w:sz w:val="32"/>
          <w:szCs w:val="32"/>
          <w:lang w:eastAsia="zh-CN"/>
        </w:rPr>
        <w:t>六）加快推进柴油货车污染治理</w:t>
      </w:r>
    </w:p>
    <w:p>
      <w:pPr>
        <w:pStyle w:val="11"/>
        <w:tabs>
          <w:tab w:val="left" w:pos="1187"/>
        </w:tabs>
        <w:spacing w:line="560" w:lineRule="exact"/>
        <w:ind w:firstLine="640" w:firstLineChars="200"/>
        <w:jc w:val="both"/>
        <w:rPr>
          <w:rFonts w:ascii="仿宋_GB2312" w:hAnsi="仿宋_GB2312" w:eastAsia="仿宋_GB2312" w:cs="仿宋_GB2312"/>
          <w:sz w:val="32"/>
          <w:szCs w:val="32"/>
        </w:rPr>
      </w:pPr>
      <w:bookmarkStart w:id="17" w:name="bookmark27"/>
      <w:bookmarkEnd w:id="17"/>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加快淘汰高排放车辆。以矿山和大型工业企业为重点， 鼓励出台推进国一及以下排放标准（或使用15年以上）非道路移动机械（含按非道路排放标准生产的非道路用车）、国三及以 下排放标准场内作业车辆淘汰更新政策。2021年12月底前，</w:t>
      </w:r>
      <w:r>
        <w:rPr>
          <w:rFonts w:hint="eastAsia" w:ascii="仿宋_GB2312" w:hAnsi="仿宋_GB2312" w:eastAsia="仿宋_GB2312" w:cs="仿宋_GB2312"/>
          <w:sz w:val="32"/>
          <w:szCs w:val="32"/>
          <w:lang w:val="en-US" w:eastAsia="zh-CN"/>
        </w:rPr>
        <w:t>配合</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营运柴油货车淘汰任务。淘汰车辆要依法依规予以回收拆解，严禁已淘汰车辆在城市周边、农村等地区非法营运或进入工矿企业内部使用。</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区城建</w:t>
      </w:r>
      <w:r>
        <w:rPr>
          <w:rFonts w:hint="eastAsia" w:ascii="仿宋_GB2312" w:hAnsi="仿宋_GB2312" w:eastAsia="仿宋_GB2312" w:cs="仿宋_GB2312"/>
          <w:sz w:val="32"/>
          <w:szCs w:val="32"/>
        </w:rPr>
        <w:t>交通局、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78"/>
        </w:tabs>
        <w:spacing w:line="560" w:lineRule="exact"/>
        <w:ind w:firstLine="640" w:firstLineChars="200"/>
        <w:jc w:val="both"/>
        <w:rPr>
          <w:rFonts w:ascii="仿宋_GB2312" w:hAnsi="仿宋_GB2312" w:eastAsia="仿宋_GB2312" w:cs="仿宋_GB2312"/>
          <w:sz w:val="32"/>
          <w:szCs w:val="32"/>
        </w:rPr>
      </w:pPr>
      <w:bookmarkStart w:id="18" w:name="bookmark28"/>
      <w:bookmarkEnd w:id="18"/>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加快推进新能源车辆替代工作。积极推进物流园区、工 矿企业场内作业车辆和机械新能源化，率先在重点行业开展氢燃料电池车示范。2021年12月底前，</w:t>
      </w:r>
      <w:r>
        <w:rPr>
          <w:rFonts w:hint="eastAsia" w:ascii="仿宋_GB2312" w:hAnsi="仿宋_GB2312" w:eastAsia="仿宋_GB2312" w:cs="仿宋_GB2312"/>
          <w:sz w:val="32"/>
          <w:szCs w:val="32"/>
          <w:lang w:val="en-US" w:eastAsia="zh-CN"/>
        </w:rPr>
        <w:t>配合完成全市各类新能源车辆替代工作任务。</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区城建</w:t>
      </w:r>
      <w:r>
        <w:rPr>
          <w:rFonts w:hint="eastAsia" w:ascii="仿宋_GB2312" w:hAnsi="仿宋_GB2312" w:eastAsia="仿宋_GB2312" w:cs="仿宋_GB2312"/>
          <w:sz w:val="32"/>
          <w:szCs w:val="32"/>
        </w:rPr>
        <w:t>交通局、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numPr>
          <w:ilvl w:val="0"/>
          <w:numId w:val="2"/>
        </w:numPr>
        <w:tabs>
          <w:tab w:val="left" w:pos="1178"/>
          <w:tab w:val="clear" w:pos="312"/>
        </w:tabs>
        <w:spacing w:line="560" w:lineRule="exact"/>
        <w:ind w:firstLine="640" w:firstLineChars="200"/>
        <w:jc w:val="both"/>
        <w:rPr>
          <w:rFonts w:ascii="仿宋_GB2312" w:hAnsi="仿宋_GB2312" w:eastAsia="仿宋_GB2312" w:cs="仿宋_GB2312"/>
          <w:sz w:val="32"/>
          <w:szCs w:val="32"/>
          <w:lang w:val="en-US" w:eastAsia="zh-CN"/>
        </w:rPr>
      </w:pPr>
      <w:bookmarkStart w:id="19" w:name="bookmark29"/>
      <w:bookmarkEnd w:id="19"/>
      <w:r>
        <w:rPr>
          <w:rFonts w:hint="eastAsia" w:ascii="仿宋_GB2312" w:hAnsi="仿宋_GB2312" w:eastAsia="仿宋_GB2312" w:cs="仿宋_GB2312"/>
          <w:sz w:val="32"/>
          <w:szCs w:val="32"/>
        </w:rPr>
        <w:t>开展油品和尿素质量抽查。建立非标油部门协作机制， 参照成品油监管机制对内燃机燃料进行管理，坚决打击非标油 品，对油品进口、生产、仓储、销售、运输、使用等全环节加强 监管，全面清理整顿无证无照的自建油罐、流动加油车（船）和 黑加油站点，2021年12月底前，</w:t>
      </w:r>
      <w:r>
        <w:rPr>
          <w:rFonts w:hint="eastAsia" w:ascii="仿宋_GB2312" w:hAnsi="仿宋_GB2312" w:eastAsia="仿宋_GB2312" w:cs="仿宋_GB2312"/>
          <w:sz w:val="32"/>
          <w:szCs w:val="32"/>
          <w:lang w:val="en-US" w:eastAsia="zh-CN"/>
        </w:rPr>
        <w:t>配合全市的</w:t>
      </w:r>
      <w:r>
        <w:rPr>
          <w:rFonts w:hint="eastAsia" w:ascii="仿宋_GB2312" w:hAnsi="仿宋_GB2312" w:eastAsia="仿宋_GB2312" w:cs="仿宋_GB2312"/>
          <w:sz w:val="32"/>
          <w:szCs w:val="32"/>
        </w:rPr>
        <w:t xml:space="preserve">专项执法行动；加大车船油箱实际使用柴油抽测力度，对发现的非标油问题线索进行追溯，严厉追究相关生产、销售、运输者主体责任；严厉查处在乙醇汽油封闭推广区域销售非乙醇汽油行为。2021年12月底前, </w:t>
      </w:r>
      <w:r>
        <w:rPr>
          <w:rFonts w:hint="eastAsia" w:ascii="仿宋_GB2312" w:hAnsi="仿宋_GB2312" w:eastAsia="仿宋_GB2312" w:cs="仿宋_GB2312"/>
          <w:sz w:val="32"/>
          <w:szCs w:val="32"/>
          <w:lang w:val="en-US" w:eastAsia="zh-CN"/>
        </w:rPr>
        <w:t>配合完成全市</w:t>
      </w:r>
      <w:r>
        <w:rPr>
          <w:rFonts w:hint="eastAsia" w:ascii="仿宋_GB2312" w:hAnsi="仿宋_GB2312" w:eastAsia="仿宋_GB2312" w:cs="仿宋_GB2312"/>
          <w:sz w:val="32"/>
          <w:szCs w:val="32"/>
        </w:rPr>
        <w:t>对在营加油站油品质量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尿素质量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监督性抽测工作。</w:t>
      </w:r>
    </w:p>
    <w:p>
      <w:pPr>
        <w:pStyle w:val="11"/>
        <w:tabs>
          <w:tab w:val="left" w:pos="1178"/>
        </w:tabs>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w:t>
      </w:r>
      <w:r>
        <w:rPr>
          <w:rFonts w:hint="eastAsia" w:ascii="仿宋_GB2312" w:hAnsi="仿宋_GB2312" w:eastAsia="仿宋_GB2312" w:cs="仿宋_GB2312"/>
          <w:sz w:val="32"/>
          <w:szCs w:val="32"/>
          <w:lang w:eastAsia="zh-CN"/>
        </w:rPr>
        <w:t>区城建</w:t>
      </w:r>
      <w:r>
        <w:rPr>
          <w:rFonts w:hint="eastAsia" w:ascii="仿宋_GB2312" w:hAnsi="仿宋_GB2312" w:eastAsia="仿宋_GB2312" w:cs="仿宋_GB2312"/>
          <w:sz w:val="32"/>
          <w:szCs w:val="32"/>
        </w:rPr>
        <w:t>交通局、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79"/>
        </w:tabs>
        <w:spacing w:line="560" w:lineRule="exact"/>
        <w:ind w:firstLine="640" w:firstLineChars="200"/>
        <w:jc w:val="both"/>
        <w:rPr>
          <w:rFonts w:ascii="仿宋_GB2312" w:hAnsi="仿宋_GB2312" w:eastAsia="仿宋_GB2312" w:cs="仿宋_GB2312"/>
          <w:sz w:val="32"/>
          <w:szCs w:val="32"/>
        </w:rPr>
      </w:pPr>
      <w:bookmarkStart w:id="20" w:name="bookmark30"/>
      <w:bookmarkEnd w:id="20"/>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加强在用车执法监管。2021年12月底前，</w:t>
      </w:r>
      <w:r>
        <w:rPr>
          <w:rFonts w:hint="eastAsia" w:ascii="仿宋_GB2312" w:hAnsi="仿宋_GB2312" w:eastAsia="仿宋_GB2312" w:cs="仿宋_GB2312"/>
          <w:sz w:val="32"/>
          <w:szCs w:val="32"/>
          <w:lang w:val="en-US" w:eastAsia="zh-CN"/>
        </w:rPr>
        <w:t>配合完成全市</w:t>
      </w:r>
      <w:r>
        <w:rPr>
          <w:rFonts w:hint="eastAsia" w:ascii="仿宋_GB2312" w:hAnsi="仿宋_GB2312" w:eastAsia="仿宋_GB2312" w:cs="仿宋_GB2312"/>
          <w:sz w:val="32"/>
          <w:szCs w:val="32"/>
        </w:rPr>
        <w:t>国六排放标准重型燃气车专项检查</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配合</w:t>
      </w:r>
      <w:r>
        <w:rPr>
          <w:rFonts w:hint="eastAsia" w:ascii="仿宋_GB2312" w:hAnsi="仿宋_GB2312" w:eastAsia="仿宋_GB2312" w:cs="仿宋_GB2312"/>
          <w:sz w:val="32"/>
          <w:szCs w:val="32"/>
          <w:lang w:eastAsia="zh-CN"/>
        </w:rPr>
        <w:t>完成全市</w:t>
      </w:r>
      <w:r>
        <w:rPr>
          <w:rFonts w:hint="eastAsia" w:ascii="仿宋_GB2312" w:hAnsi="仿宋_GB2312" w:eastAsia="仿宋_GB2312" w:cs="仿宋_GB2312"/>
          <w:sz w:val="32"/>
          <w:szCs w:val="32"/>
        </w:rPr>
        <w:t>检查排放检验机构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重点用车企业安装门禁系统</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sz w:val="32"/>
          <w:szCs w:val="32"/>
        </w:rPr>
        <w:t>。</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79"/>
        </w:tabs>
        <w:spacing w:line="560" w:lineRule="exact"/>
        <w:ind w:firstLine="640" w:firstLineChars="200"/>
        <w:jc w:val="both"/>
        <w:rPr>
          <w:rFonts w:ascii="仿宋_GB2312" w:hAnsi="仿宋_GB2312" w:eastAsia="仿宋_GB2312" w:cs="仿宋_GB2312"/>
          <w:sz w:val="32"/>
          <w:szCs w:val="32"/>
        </w:rPr>
      </w:pPr>
      <w:bookmarkStart w:id="21" w:name="bookmark31"/>
      <w:bookmarkEnd w:id="21"/>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开展非道路移动机械检查。完成非道路移动机械编码登 记工作，开展执法检查，严厉查处场内作业机械、车辆超标和冒 黑烟问题，2021年12月底前，</w:t>
      </w:r>
      <w:r>
        <w:rPr>
          <w:rFonts w:hint="eastAsia" w:ascii="仿宋_GB2312" w:hAnsi="仿宋_GB2312" w:eastAsia="仿宋_GB2312" w:cs="仿宋_GB2312"/>
          <w:sz w:val="32"/>
          <w:szCs w:val="32"/>
          <w:lang w:val="en-US" w:eastAsia="zh-CN"/>
        </w:rPr>
        <w:t>配合</w:t>
      </w:r>
      <w:r>
        <w:rPr>
          <w:rFonts w:hint="eastAsia" w:ascii="仿宋_GB2312" w:hAnsi="仿宋_GB2312" w:eastAsia="仿宋_GB2312" w:cs="仿宋_GB2312"/>
          <w:sz w:val="32"/>
          <w:szCs w:val="32"/>
          <w:lang w:eastAsia="zh-CN"/>
        </w:rPr>
        <w:t>完成全市</w:t>
      </w:r>
      <w:r>
        <w:rPr>
          <w:rFonts w:hint="eastAsia" w:ascii="仿宋_GB2312" w:hAnsi="仿宋_GB2312" w:eastAsia="仿宋_GB2312" w:cs="仿宋_GB2312"/>
          <w:sz w:val="32"/>
          <w:szCs w:val="32"/>
        </w:rPr>
        <w:t>非道路移动机械检查抽查</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施工工地、物流园区等重点场所全覆盖</w:t>
      </w:r>
      <w:r>
        <w:rPr>
          <w:rFonts w:hint="eastAsia" w:ascii="仿宋_GB2312" w:hAnsi="仿宋_GB2312" w:eastAsia="仿宋_GB2312" w:cs="仿宋_GB2312"/>
          <w:sz w:val="32"/>
          <w:szCs w:val="32"/>
          <w:lang w:val="en-US" w:eastAsia="zh-CN"/>
        </w:rPr>
        <w:t>的工作任务</w:t>
      </w:r>
      <w:r>
        <w:rPr>
          <w:rFonts w:hint="eastAsia" w:ascii="仿宋_GB2312" w:hAnsi="仿宋_GB2312" w:eastAsia="仿宋_GB2312" w:cs="仿宋_GB2312"/>
          <w:sz w:val="32"/>
          <w:szCs w:val="32"/>
        </w:rPr>
        <w:t>。</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控尘办、</w:t>
      </w:r>
      <w:r>
        <w:rPr>
          <w:rFonts w:hint="eastAsia" w:ascii="仿宋_GB2312" w:hAnsi="仿宋_GB2312" w:eastAsia="仿宋_GB2312" w:cs="仿宋_GB2312"/>
          <w:sz w:val="32"/>
          <w:szCs w:val="32"/>
          <w:lang w:eastAsia="zh-CN"/>
        </w:rPr>
        <w:t>区商务</w:t>
      </w:r>
      <w:r>
        <w:rPr>
          <w:rFonts w:hint="eastAsia" w:ascii="仿宋_GB2312" w:hAnsi="仿宋_GB2312" w:eastAsia="仿宋_GB2312" w:cs="仿宋_GB2312"/>
          <w:sz w:val="32"/>
          <w:szCs w:val="32"/>
        </w:rPr>
        <w:t>局、市场</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中心</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spacing w:line="560" w:lineRule="exact"/>
        <w:ind w:firstLine="640"/>
        <w:jc w:val="both"/>
        <w:rPr>
          <w:rFonts w:ascii="仿宋_GB2312" w:hAnsi="仿宋_GB2312" w:eastAsia="仿宋_GB2312" w:cs="仿宋_GB2312"/>
          <w:sz w:val="32"/>
          <w:szCs w:val="32"/>
        </w:rPr>
      </w:pPr>
      <w:bookmarkStart w:id="22" w:name="bookmark32"/>
      <w:r>
        <w:rPr>
          <w:rFonts w:hint="eastAsia" w:ascii="楷体_GB2312" w:hAnsi="楷体_GB2312" w:eastAsia="楷体_GB2312" w:cs="楷体_GB2312"/>
          <w:sz w:val="32"/>
          <w:szCs w:val="32"/>
          <w:lang w:eastAsia="zh-CN"/>
        </w:rPr>
        <w:t>（</w:t>
      </w:r>
      <w:bookmarkEnd w:id="22"/>
      <w:r>
        <w:rPr>
          <w:rFonts w:hint="eastAsia" w:ascii="楷体_GB2312" w:hAnsi="楷体_GB2312" w:eastAsia="楷体_GB2312" w:cs="楷体_GB2312"/>
          <w:sz w:val="32"/>
          <w:szCs w:val="32"/>
          <w:lang w:eastAsia="zh-CN"/>
        </w:rPr>
        <w:t>七）推进大宗货物</w:t>
      </w:r>
      <w:r>
        <w:rPr>
          <w:rFonts w:hint="eastAsia" w:ascii="楷体_GB2312" w:hAnsi="楷体_GB2312" w:eastAsia="楷体_GB2312" w:cs="楷体_GB2312"/>
          <w:sz w:val="32"/>
          <w:szCs w:val="32"/>
          <w:lang w:val="zh-CN" w:eastAsia="zh-CN"/>
        </w:rPr>
        <w:t>“公</w:t>
      </w:r>
      <w:r>
        <w:rPr>
          <w:rFonts w:hint="eastAsia" w:ascii="楷体_GB2312" w:hAnsi="楷体_GB2312" w:eastAsia="楷体_GB2312" w:cs="楷体_GB2312"/>
          <w:sz w:val="32"/>
          <w:szCs w:val="32"/>
          <w:lang w:eastAsia="zh-CN"/>
        </w:rPr>
        <w:t>转铁”</w:t>
      </w:r>
    </w:p>
    <w:p>
      <w:pPr>
        <w:pStyle w:val="11"/>
        <w:tabs>
          <w:tab w:val="left" w:pos="1179"/>
        </w:tabs>
        <w:spacing w:line="560" w:lineRule="exact"/>
        <w:ind w:firstLine="640" w:firstLineChars="200"/>
        <w:jc w:val="both"/>
        <w:rPr>
          <w:rFonts w:ascii="仿宋_GB2312" w:hAnsi="仿宋_GB2312" w:eastAsia="仿宋_GB2312" w:cs="仿宋_GB2312"/>
          <w:sz w:val="32"/>
          <w:szCs w:val="32"/>
          <w:highlight w:val="yellow"/>
        </w:rPr>
      </w:pPr>
      <w:bookmarkStart w:id="23" w:name="bookmark33"/>
      <w:bookmarkEnd w:id="23"/>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严格实施清洁运输。以重点行业及工业园区为重点，开 展大宗货物运输摸底调查，逐一核实铁路、水路、管道等清洁运 输情况，2021年12月底前，完成重点行业大宗货物运输结构调 整</w:t>
      </w:r>
      <w:r>
        <w:rPr>
          <w:rFonts w:hint="eastAsia" w:ascii="仿宋_GB2312" w:hAnsi="仿宋_GB2312" w:eastAsia="仿宋_GB2312" w:cs="仿宋_GB2312"/>
          <w:sz w:val="32"/>
          <w:szCs w:val="32"/>
          <w:lang w:val="zh-CN" w:eastAsia="zh-CN" w:bidi="zh-CN"/>
        </w:rPr>
        <w:t>“一企</w:t>
      </w:r>
      <w:r>
        <w:rPr>
          <w:rFonts w:hint="eastAsia" w:ascii="仿宋_GB2312" w:hAnsi="仿宋_GB2312" w:eastAsia="仿宋_GB2312" w:cs="仿宋_GB2312"/>
          <w:sz w:val="32"/>
          <w:szCs w:val="32"/>
        </w:rPr>
        <w:t>一策”方案。</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区城建</w:t>
      </w:r>
      <w:r>
        <w:rPr>
          <w:rFonts w:hint="eastAsia" w:ascii="仿宋_GB2312" w:hAnsi="仿宋_GB2312" w:eastAsia="仿宋_GB2312" w:cs="仿宋_GB2312"/>
          <w:sz w:val="32"/>
          <w:szCs w:val="32"/>
        </w:rPr>
        <w:t>交通局、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81"/>
        </w:tabs>
        <w:spacing w:line="560" w:lineRule="exact"/>
        <w:ind w:firstLine="640" w:firstLineChars="200"/>
        <w:jc w:val="both"/>
        <w:rPr>
          <w:rFonts w:ascii="仿宋_GB2312" w:hAnsi="仿宋_GB2312" w:eastAsia="仿宋_GB2312" w:cs="仿宋_GB2312"/>
          <w:sz w:val="32"/>
          <w:szCs w:val="32"/>
          <w:lang w:eastAsia="zh-CN"/>
        </w:rPr>
      </w:pPr>
      <w:bookmarkStart w:id="24" w:name="bookmark34"/>
      <w:bookmarkEnd w:id="24"/>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加快联运方式转变。推进</w:t>
      </w:r>
      <w:r>
        <w:rPr>
          <w:rFonts w:hint="eastAsia" w:ascii="仿宋_GB2312" w:hAnsi="仿宋_GB2312" w:eastAsia="仿宋_GB2312" w:cs="仿宋_GB2312"/>
          <w:sz w:val="32"/>
          <w:szCs w:val="32"/>
          <w:lang w:val="zh-CN" w:eastAsia="zh-CN" w:bidi="zh-CN"/>
        </w:rPr>
        <w:t>“内集</w:t>
      </w:r>
      <w:r>
        <w:rPr>
          <w:rFonts w:hint="eastAsia" w:ascii="仿宋_GB2312" w:hAnsi="仿宋_GB2312" w:eastAsia="仿宋_GB2312" w:cs="仿宋_GB2312"/>
          <w:sz w:val="32"/>
          <w:szCs w:val="32"/>
        </w:rPr>
        <w:t>外配”的城市物流公铁联运方式，研究制定支持铁路、水路货物运输的碳排放政策</w:t>
      </w:r>
      <w:r>
        <w:rPr>
          <w:rFonts w:hint="eastAsia" w:ascii="仿宋_GB2312" w:hAnsi="仿宋_GB2312" w:eastAsia="仿宋_GB2312" w:cs="仿宋_GB2312"/>
          <w:sz w:val="32"/>
          <w:szCs w:val="32"/>
          <w:lang w:eastAsia="zh-CN"/>
        </w:rPr>
        <w:t>。</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区城建</w:t>
      </w:r>
      <w:r>
        <w:rPr>
          <w:rFonts w:hint="eastAsia" w:ascii="仿宋_GB2312" w:hAnsi="仿宋_GB2312" w:eastAsia="仿宋_GB2312" w:cs="仿宋_GB2312"/>
          <w:sz w:val="32"/>
          <w:szCs w:val="32"/>
        </w:rPr>
        <w:t>交通局</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spacing w:line="560" w:lineRule="exact"/>
        <w:ind w:firstLine="640"/>
        <w:jc w:val="both"/>
        <w:rPr>
          <w:rFonts w:ascii="楷体_GB2312" w:hAnsi="楷体_GB2312" w:eastAsia="楷体_GB2312" w:cs="楷体_GB2312"/>
          <w:sz w:val="32"/>
          <w:szCs w:val="32"/>
          <w:lang w:eastAsia="zh-CN"/>
        </w:rPr>
      </w:pPr>
      <w:bookmarkStart w:id="25" w:name="bookmark35"/>
      <w:r>
        <w:rPr>
          <w:rFonts w:hint="eastAsia" w:ascii="楷体_GB2312" w:hAnsi="楷体_GB2312" w:eastAsia="楷体_GB2312" w:cs="楷体_GB2312"/>
          <w:sz w:val="32"/>
          <w:szCs w:val="32"/>
          <w:lang w:eastAsia="zh-CN"/>
        </w:rPr>
        <w:t>（</w:t>
      </w:r>
      <w:bookmarkEnd w:id="25"/>
      <w:r>
        <w:rPr>
          <w:rFonts w:hint="eastAsia" w:ascii="楷体_GB2312" w:hAnsi="楷体_GB2312" w:eastAsia="楷体_GB2312" w:cs="楷体_GB2312"/>
          <w:sz w:val="32"/>
          <w:szCs w:val="32"/>
          <w:lang w:eastAsia="zh-CN"/>
        </w:rPr>
        <w:t>八）强化秸秆禁烧管控</w:t>
      </w:r>
    </w:p>
    <w:p>
      <w:pPr>
        <w:pStyle w:val="11"/>
        <w:tabs>
          <w:tab w:val="left" w:pos="1181"/>
        </w:tabs>
        <w:spacing w:line="560" w:lineRule="exact"/>
        <w:ind w:firstLine="640" w:firstLineChars="200"/>
        <w:jc w:val="both"/>
        <w:rPr>
          <w:rFonts w:ascii="仿宋_GB2312" w:hAnsi="仿宋_GB2312" w:eastAsia="仿宋_GB2312" w:cs="仿宋_GB2312"/>
          <w:sz w:val="32"/>
          <w:szCs w:val="32"/>
        </w:rPr>
      </w:pPr>
      <w:bookmarkStart w:id="26" w:name="bookmark36"/>
      <w:bookmarkEnd w:id="26"/>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加强秸秆焚烧管控。严格落实辖区主体责任，推进</w:t>
      </w:r>
      <w:r>
        <w:rPr>
          <w:rFonts w:hint="eastAsia" w:ascii="仿宋_GB2312" w:hAnsi="仿宋_GB2312" w:eastAsia="仿宋_GB2312" w:cs="仿宋_GB2312"/>
          <w:sz w:val="32"/>
          <w:szCs w:val="32"/>
          <w:lang w:val="zh-CN" w:eastAsia="zh-CN" w:bidi="zh-CN"/>
        </w:rPr>
        <w:t>“人防”“技防</w:t>
      </w:r>
      <w:r>
        <w:rPr>
          <w:rFonts w:hint="eastAsia" w:ascii="仿宋_GB2312" w:hAnsi="仿宋_GB2312" w:eastAsia="仿宋_GB2312" w:cs="仿宋_GB2312"/>
          <w:sz w:val="32"/>
          <w:szCs w:val="32"/>
          <w:lang w:val="en-US" w:eastAsia="zh-CN" w:bidi="en-US"/>
        </w:rPr>
        <w:t>”</w:t>
      </w:r>
      <w:r>
        <w:rPr>
          <w:rFonts w:hint="eastAsia" w:ascii="仿宋_GB2312" w:hAnsi="仿宋_GB2312" w:eastAsia="仿宋_GB2312" w:cs="仿宋_GB2312"/>
          <w:sz w:val="32"/>
          <w:szCs w:val="32"/>
        </w:rPr>
        <w:t>结合，综合运用卫星遥感、高清视频监控、无人机等手段加强执法监管，确保全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秸秆焚烧火点数量为</w:t>
      </w:r>
      <w:r>
        <w:rPr>
          <w:rFonts w:hint="eastAsia" w:ascii="仿宋_GB2312" w:hAnsi="仿宋_GB2312" w:eastAsia="仿宋_GB2312" w:cs="仿宋_GB2312"/>
          <w:sz w:val="32"/>
          <w:szCs w:val="32"/>
          <w:lang w:val="zh-CN" w:eastAsia="zh-CN" w:bidi="zh-CN"/>
        </w:rPr>
        <w:t>“零</w:t>
      </w:r>
      <w:r>
        <w:rPr>
          <w:rFonts w:hint="eastAsia" w:ascii="仿宋_GB2312" w:hAnsi="仿宋_GB2312" w:eastAsia="仿宋_GB2312" w:cs="仿宋_GB2312"/>
          <w:sz w:val="32"/>
          <w:szCs w:val="32"/>
        </w:rPr>
        <w:t>"。</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农委</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81"/>
        </w:tabs>
        <w:spacing w:line="560" w:lineRule="exact"/>
        <w:ind w:firstLine="640" w:firstLineChars="200"/>
        <w:jc w:val="both"/>
        <w:rPr>
          <w:rFonts w:ascii="仿宋_GB2312" w:hAnsi="仿宋_GB2312" w:eastAsia="仿宋_GB2312" w:cs="仿宋_GB2312"/>
          <w:sz w:val="32"/>
          <w:szCs w:val="32"/>
        </w:rPr>
      </w:pPr>
      <w:bookmarkStart w:id="27" w:name="bookmark37"/>
      <w:bookmarkEnd w:id="27"/>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加强秸秆综合利用。2021年12月底前，全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秸秆综合利用率达到93.5%以上，小麦秸秆还田率达到96.3%以上，玉米秸秆还田率达到</w:t>
      </w:r>
      <w:r>
        <w:rPr>
          <w:rFonts w:hint="eastAsia" w:ascii="仿宋_GB2312" w:hAnsi="仿宋_GB2312" w:eastAsia="仿宋_GB2312" w:cs="仿宋_GB2312"/>
          <w:sz w:val="32"/>
          <w:szCs w:val="32"/>
          <w:lang w:val="en-US" w:eastAsia="zh-CN" w:bidi="en-US"/>
        </w:rPr>
        <w:t>92.</w:t>
      </w:r>
      <w:r>
        <w:rPr>
          <w:rFonts w:hint="eastAsia" w:ascii="仿宋_GB2312" w:hAnsi="仿宋_GB2312" w:eastAsia="仿宋_GB2312" w:cs="仿宋_GB2312"/>
          <w:sz w:val="32"/>
          <w:szCs w:val="32"/>
        </w:rPr>
        <w:t>7%以上。</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农委</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spacing w:line="560" w:lineRule="exact"/>
        <w:ind w:firstLine="620"/>
        <w:jc w:val="both"/>
        <w:rPr>
          <w:rFonts w:ascii="仿宋_GB2312" w:hAnsi="仿宋_GB2312" w:eastAsia="仿宋_GB2312" w:cs="仿宋_GB2312"/>
          <w:sz w:val="32"/>
          <w:szCs w:val="32"/>
        </w:rPr>
      </w:pPr>
      <w:bookmarkStart w:id="28" w:name="bookmark38"/>
      <w:r>
        <w:rPr>
          <w:rFonts w:hint="eastAsia" w:ascii="楷体_GB2312" w:hAnsi="楷体_GB2312" w:eastAsia="楷体_GB2312" w:cs="楷体_GB2312"/>
          <w:sz w:val="32"/>
          <w:szCs w:val="32"/>
          <w:lang w:eastAsia="zh-CN"/>
        </w:rPr>
        <w:t>（</w:t>
      </w:r>
      <w:bookmarkEnd w:id="28"/>
      <w:r>
        <w:rPr>
          <w:rFonts w:hint="eastAsia" w:ascii="楷体_GB2312" w:hAnsi="楷体_GB2312" w:eastAsia="楷体_GB2312" w:cs="楷体_GB2312"/>
          <w:sz w:val="32"/>
          <w:szCs w:val="32"/>
          <w:lang w:eastAsia="zh-CN"/>
        </w:rPr>
        <w:t>九）加强扬尘综合管控</w:t>
      </w:r>
    </w:p>
    <w:p>
      <w:pPr>
        <w:pStyle w:val="11"/>
        <w:tabs>
          <w:tab w:val="left" w:pos="1175"/>
        </w:tabs>
        <w:spacing w:line="560" w:lineRule="exact"/>
        <w:ind w:firstLine="640" w:firstLineChars="200"/>
        <w:jc w:val="both"/>
        <w:rPr>
          <w:rFonts w:ascii="仿宋_GB2312" w:hAnsi="仿宋_GB2312" w:eastAsia="仿宋_GB2312" w:cs="仿宋_GB2312"/>
          <w:sz w:val="32"/>
          <w:szCs w:val="32"/>
        </w:rPr>
      </w:pPr>
      <w:bookmarkStart w:id="29" w:name="bookmark39"/>
      <w:bookmarkEnd w:id="29"/>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强化降尘量控制。细化降尘量控制要求，逐月实施</w:t>
      </w:r>
      <w:r>
        <w:rPr>
          <w:rFonts w:hint="eastAsia" w:ascii="仿宋_GB2312" w:hAnsi="仿宋_GB2312" w:eastAsia="仿宋_GB2312" w:cs="仿宋_GB2312"/>
          <w:sz w:val="32"/>
          <w:szCs w:val="32"/>
          <w:lang w:eastAsia="zh-CN"/>
        </w:rPr>
        <w:t>办事处（园区）</w:t>
      </w:r>
      <w:r>
        <w:rPr>
          <w:rFonts w:hint="eastAsia" w:ascii="仿宋_GB2312" w:hAnsi="仿宋_GB2312" w:eastAsia="仿宋_GB2312" w:cs="仿宋_GB2312"/>
          <w:sz w:val="32"/>
          <w:szCs w:val="32"/>
        </w:rPr>
        <w:t>降尘量监测排名，各</w:t>
      </w:r>
      <w:r>
        <w:rPr>
          <w:rFonts w:hint="eastAsia" w:ascii="仿宋_GB2312" w:hAnsi="仿宋_GB2312" w:eastAsia="仿宋_GB2312" w:cs="仿宋_GB2312"/>
          <w:sz w:val="32"/>
          <w:szCs w:val="32"/>
          <w:lang w:eastAsia="zh-CN"/>
        </w:rPr>
        <w:t>办事处（园区）</w:t>
      </w:r>
      <w:r>
        <w:rPr>
          <w:rFonts w:hint="eastAsia" w:ascii="仿宋_GB2312" w:hAnsi="仿宋_GB2312" w:eastAsia="仿宋_GB2312" w:cs="仿宋_GB2312"/>
          <w:sz w:val="32"/>
          <w:szCs w:val="32"/>
        </w:rPr>
        <w:t>降尘量不高于7吨/月</w:t>
      </w:r>
      <w:r>
        <w:rPr>
          <w:rFonts w:hint="eastAsia" w:ascii="仿宋_GB2312" w:hAnsi="仿宋_GB2312" w:eastAsia="仿宋_GB2312" w:cs="仿宋_GB2312"/>
          <w:sz w:val="32"/>
          <w:szCs w:val="32"/>
          <w:lang w:val="zh-CN" w:eastAsia="zh-CN" w:bidi="zh-CN"/>
        </w:rPr>
        <w:t>•平</w:t>
      </w:r>
      <w:r>
        <w:rPr>
          <w:rFonts w:hint="eastAsia" w:ascii="仿宋_GB2312" w:hAnsi="仿宋_GB2312" w:eastAsia="仿宋_GB2312" w:cs="仿宋_GB2312"/>
          <w:sz w:val="32"/>
          <w:szCs w:val="32"/>
        </w:rPr>
        <w:t>方公里。</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控尘办</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75"/>
        </w:tabs>
        <w:spacing w:line="560" w:lineRule="exact"/>
        <w:ind w:firstLine="640" w:firstLineChars="200"/>
        <w:jc w:val="both"/>
        <w:rPr>
          <w:rFonts w:ascii="仿宋_GB2312" w:hAnsi="仿宋_GB2312" w:eastAsia="仿宋_GB2312" w:cs="仿宋_GB2312"/>
          <w:sz w:val="32"/>
          <w:szCs w:val="32"/>
        </w:rPr>
      </w:pPr>
      <w:bookmarkStart w:id="30" w:name="bookmark40"/>
      <w:bookmarkEnd w:id="30"/>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加强施工工地管理。严格落实施工工地</w:t>
      </w:r>
      <w:r>
        <w:rPr>
          <w:rFonts w:hint="eastAsia" w:ascii="仿宋_GB2312" w:hAnsi="仿宋_GB2312" w:eastAsia="仿宋_GB2312" w:cs="仿宋_GB2312"/>
          <w:sz w:val="32"/>
          <w:szCs w:val="32"/>
          <w:lang w:val="zh-CN" w:eastAsia="zh-CN" w:bidi="zh-CN"/>
        </w:rPr>
        <w:t>“八个</w:t>
      </w:r>
      <w:r>
        <w:rPr>
          <w:rFonts w:hint="eastAsia" w:ascii="仿宋_GB2312" w:hAnsi="仿宋_GB2312" w:eastAsia="仿宋_GB2312" w:cs="仿宋_GB2312"/>
          <w:sz w:val="32"/>
          <w:szCs w:val="32"/>
        </w:rPr>
        <w:t>百分之百”、开复工验收</w:t>
      </w:r>
      <w:r>
        <w:rPr>
          <w:rFonts w:hint="eastAsia" w:ascii="仿宋_GB2312" w:hAnsi="仿宋_GB2312" w:eastAsia="仿宋_GB2312" w:cs="仿宋_GB2312"/>
          <w:sz w:val="32"/>
          <w:szCs w:val="32"/>
          <w:lang w:val="zh-CN" w:eastAsia="zh-CN" w:bidi="zh-CN"/>
        </w:rPr>
        <w:t>、“三</w:t>
      </w:r>
      <w:r>
        <w:rPr>
          <w:rFonts w:hint="eastAsia" w:ascii="仿宋_GB2312" w:hAnsi="仿宋_GB2312" w:eastAsia="仿宋_GB2312" w:cs="仿宋_GB2312"/>
          <w:sz w:val="32"/>
          <w:szCs w:val="32"/>
        </w:rPr>
        <w:t>员”管理、建筑垃圾处置核准等制度，严格落实信用评价联合惩戒制度。</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控尘办</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75"/>
        </w:tabs>
        <w:spacing w:line="560" w:lineRule="exact"/>
        <w:ind w:firstLine="640" w:firstLineChars="200"/>
        <w:jc w:val="both"/>
        <w:rPr>
          <w:rFonts w:ascii="仿宋_GB2312" w:hAnsi="仿宋_GB2312" w:eastAsia="仿宋_GB2312" w:cs="仿宋_GB2312"/>
          <w:sz w:val="32"/>
          <w:szCs w:val="32"/>
        </w:rPr>
      </w:pPr>
      <w:bookmarkStart w:id="31" w:name="bookmark41"/>
      <w:bookmarkEnd w:id="31"/>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加强道路清扫保洁。根据气象条件采取洒水、湿扫等方 式，确保全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道路达标，城市建成区道路机械化清扫率达到 97%。</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eastAsia="zh-CN"/>
        </w:rPr>
        <w:t>、区城建</w:t>
      </w:r>
      <w:r>
        <w:rPr>
          <w:rFonts w:hint="eastAsia" w:ascii="仿宋_GB2312" w:hAnsi="仿宋_GB2312" w:eastAsia="仿宋_GB2312" w:cs="仿宋_GB2312"/>
          <w:sz w:val="32"/>
          <w:szCs w:val="32"/>
        </w:rPr>
        <w:t>交通局</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spacing w:line="560" w:lineRule="exact"/>
        <w:ind w:firstLine="64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（十）有效应对重污染天气</w:t>
      </w:r>
    </w:p>
    <w:p>
      <w:pPr>
        <w:pStyle w:val="11"/>
        <w:tabs>
          <w:tab w:val="left" w:pos="1175"/>
        </w:tabs>
        <w:spacing w:line="560" w:lineRule="exact"/>
        <w:ind w:firstLine="640" w:firstLineChars="200"/>
        <w:jc w:val="both"/>
        <w:rPr>
          <w:rFonts w:ascii="仿宋_GB2312" w:hAnsi="仿宋_GB2312" w:eastAsia="仿宋_GB2312" w:cs="仿宋_GB2312"/>
          <w:sz w:val="32"/>
          <w:szCs w:val="32"/>
        </w:rPr>
      </w:pPr>
      <w:bookmarkStart w:id="32" w:name="bookmark42"/>
      <w:bookmarkEnd w:id="32"/>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加强会商研判，精准预报污染过程。按照应急预案依法 及时启动重污染天气预警，采取应急减排措施。</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攻坚办</w:t>
      </w:r>
    </w:p>
    <w:p>
      <w:pPr>
        <w:pStyle w:val="11"/>
        <w:spacing w:line="560" w:lineRule="exact"/>
        <w:ind w:firstLine="6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575"/>
        </w:tabs>
        <w:spacing w:line="560" w:lineRule="exact"/>
        <w:ind w:firstLine="640" w:firstLineChars="200"/>
        <w:jc w:val="both"/>
        <w:rPr>
          <w:rFonts w:ascii="仿宋_GB2312" w:hAnsi="仿宋_GB2312" w:eastAsia="仿宋_GB2312" w:cs="仿宋_GB2312"/>
          <w:sz w:val="32"/>
          <w:szCs w:val="32"/>
        </w:rPr>
      </w:pPr>
      <w:bookmarkStart w:id="33" w:name="bookmark43"/>
      <w:bookmarkEnd w:id="33"/>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实施差异化管理。根据国家、省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绩效分级结果，进一步完善应急减排清单，实施差异化减排，严禁</w:t>
      </w:r>
      <w:r>
        <w:rPr>
          <w:rFonts w:hint="eastAsia" w:ascii="仿宋_GB2312" w:hAnsi="仿宋_GB2312" w:eastAsia="仿宋_GB2312" w:cs="仿宋_GB2312"/>
          <w:sz w:val="32"/>
          <w:szCs w:val="32"/>
          <w:lang w:val="zh-CN" w:eastAsia="zh-CN" w:bidi="zh-CN"/>
        </w:rPr>
        <w:t>“一</w:t>
      </w:r>
      <w:r>
        <w:rPr>
          <w:rFonts w:hint="eastAsia" w:ascii="仿宋_GB2312" w:hAnsi="仿宋_GB2312" w:eastAsia="仿宋_GB2312" w:cs="仿宋_GB2312"/>
          <w:sz w:val="32"/>
          <w:szCs w:val="32"/>
        </w:rPr>
        <w:t>刀切"。</w:t>
      </w:r>
    </w:p>
    <w:p>
      <w:pPr>
        <w:pStyle w:val="11"/>
        <w:spacing w:line="560" w:lineRule="exact"/>
        <w:ind w:firstLine="6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攻坚办</w:t>
      </w:r>
    </w:p>
    <w:p>
      <w:pPr>
        <w:pStyle w:val="11"/>
        <w:spacing w:line="560" w:lineRule="exact"/>
        <w:ind w:firstLine="6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74"/>
        </w:tabs>
        <w:spacing w:line="560" w:lineRule="exact"/>
        <w:ind w:firstLine="640" w:firstLineChars="200"/>
        <w:jc w:val="both"/>
        <w:rPr>
          <w:rFonts w:ascii="仿宋_GB2312" w:hAnsi="仿宋_GB2312" w:eastAsia="仿宋_GB2312" w:cs="仿宋_GB2312"/>
          <w:sz w:val="32"/>
          <w:szCs w:val="32"/>
          <w:lang w:eastAsia="zh-CN"/>
        </w:rPr>
      </w:pPr>
      <w:bookmarkStart w:id="34" w:name="bookmark44"/>
      <w:bookmarkEnd w:id="34"/>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加大重污染天气执法力度。重污染天气预警响应期间， 要充分运用智能监控平台，加大执法力度，严厉打击违法违规行 为。对超标排放、弄虚作假、未落实管控要求的企业，要依法依 规严格处罚和追究相关责任人的责任</w:t>
      </w:r>
      <w:r>
        <w:rPr>
          <w:rFonts w:hint="eastAsia" w:ascii="仿宋_GB2312" w:hAnsi="仿宋_GB2312" w:eastAsia="仿宋_GB2312" w:cs="仿宋_GB2312"/>
          <w:sz w:val="32"/>
          <w:szCs w:val="32"/>
          <w:lang w:eastAsia="zh-CN"/>
        </w:rPr>
        <w:t>。</w:t>
      </w:r>
    </w:p>
    <w:p>
      <w:pPr>
        <w:pStyle w:val="11"/>
        <w:spacing w:line="560" w:lineRule="exact"/>
        <w:ind w:firstLine="66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区攻坚办</w:t>
      </w:r>
    </w:p>
    <w:p>
      <w:pPr>
        <w:pStyle w:val="11"/>
        <w:spacing w:line="560" w:lineRule="exact"/>
        <w:ind w:firstLine="6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控尘办、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区城建</w:t>
      </w:r>
      <w:r>
        <w:rPr>
          <w:rFonts w:hint="eastAsia" w:ascii="仿宋_GB2312" w:hAnsi="仿宋_GB2312" w:eastAsia="仿宋_GB2312" w:cs="仿宋_GB2312"/>
          <w:sz w:val="32"/>
          <w:szCs w:val="32"/>
        </w:rPr>
        <w:t>交通局、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p>
    <w:p>
      <w:pPr>
        <w:pStyle w:val="11"/>
        <w:spacing w:line="560" w:lineRule="exact"/>
        <w:ind w:firstLine="6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tabs>
          <w:tab w:val="left" w:pos="1174"/>
        </w:tabs>
        <w:spacing w:line="560" w:lineRule="exact"/>
        <w:ind w:firstLine="640" w:firstLineChars="200"/>
        <w:jc w:val="both"/>
        <w:rPr>
          <w:rFonts w:ascii="仿宋_GB2312" w:hAnsi="仿宋_GB2312" w:eastAsia="仿宋_GB2312" w:cs="仿宋_GB2312"/>
          <w:sz w:val="32"/>
          <w:szCs w:val="32"/>
          <w:lang w:val="en-US" w:eastAsia="zh-CN"/>
        </w:rPr>
      </w:pPr>
      <w:bookmarkStart w:id="35" w:name="bookmark45"/>
      <w:bookmarkEnd w:id="35"/>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加强污染天气应急减排期间连续施工项目管理。对四环 内因存在安全隐患、施工工期有特殊要求（如供暖管网）、混凝 土连续浇筑等原因，需在污染天气应急减排期间连续施工的，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 控尘办严格按要求进行审核</w:t>
      </w:r>
      <w:r>
        <w:rPr>
          <w:rFonts w:hint="eastAsia" w:ascii="仿宋_GB2312" w:hAnsi="仿宋_GB2312" w:eastAsia="仿宋_GB2312" w:cs="仿宋_GB2312"/>
          <w:sz w:val="32"/>
          <w:szCs w:val="32"/>
          <w:lang w:eastAsia="zh-CN"/>
        </w:rPr>
        <w:t>上报</w:t>
      </w:r>
      <w:r>
        <w:rPr>
          <w:rFonts w:hint="eastAsia" w:ascii="仿宋_GB2312" w:hAnsi="仿宋_GB2312" w:eastAsia="仿宋_GB2312" w:cs="仿宋_GB2312"/>
          <w:sz w:val="32"/>
          <w:szCs w:val="32"/>
        </w:rPr>
        <w:t>，需使用新能源水泥罐车</w:t>
      </w:r>
      <w:r>
        <w:rPr>
          <w:rFonts w:hint="eastAsia" w:ascii="仿宋_GB2312" w:hAnsi="仿宋_GB2312" w:eastAsia="仿宋_GB2312" w:cs="仿宋_GB2312"/>
          <w:sz w:val="32"/>
          <w:szCs w:val="32"/>
          <w:lang w:eastAsia="zh-CN"/>
        </w:rPr>
        <w:t>。</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控尘办</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城建</w:t>
      </w:r>
      <w:r>
        <w:rPr>
          <w:rFonts w:hint="eastAsia" w:ascii="仿宋_GB2312" w:hAnsi="仿宋_GB2312" w:eastAsia="仿宋_GB2312" w:cs="仿宋_GB2312"/>
          <w:sz w:val="32"/>
          <w:szCs w:val="32"/>
          <w:lang w:eastAsia="zh-CN"/>
        </w:rPr>
        <w:t>交通</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p>
    <w:p>
      <w:pPr>
        <w:pStyle w:val="11"/>
        <w:spacing w:line="560" w:lineRule="exact"/>
        <w:ind w:firstLine="6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责任单位：各街道办事处，</w:t>
      </w:r>
      <w:r>
        <w:rPr>
          <w:rFonts w:hint="eastAsia" w:ascii="仿宋_GB2312" w:hAnsi="仿宋_GB2312" w:eastAsia="仿宋_GB2312" w:cs="仿宋_GB2312"/>
          <w:sz w:val="32"/>
          <w:szCs w:val="32"/>
          <w:lang w:eastAsia="zh-CN"/>
        </w:rPr>
        <w:t>金岱产业集聚区管委会</w:t>
      </w:r>
    </w:p>
    <w:p>
      <w:pPr>
        <w:pStyle w:val="11"/>
        <w:numPr>
          <w:ilvl w:val="0"/>
          <w:numId w:val="3"/>
        </w:numPr>
        <w:spacing w:line="560" w:lineRule="exact"/>
        <w:ind w:firstLine="620"/>
        <w:jc w:val="both"/>
        <w:rPr>
          <w:rFonts w:ascii="黑体" w:hAnsi="黑体" w:eastAsia="黑体" w:cs="黑体"/>
          <w:sz w:val="32"/>
          <w:szCs w:val="32"/>
        </w:rPr>
      </w:pPr>
      <w:r>
        <w:rPr>
          <w:rFonts w:hint="eastAsia" w:ascii="黑体" w:hAnsi="黑体" w:eastAsia="黑体" w:cs="黑体"/>
          <w:sz w:val="32"/>
          <w:szCs w:val="32"/>
        </w:rPr>
        <w:t>保障措施</w:t>
      </w:r>
    </w:p>
    <w:p>
      <w:pPr>
        <w:pStyle w:val="11"/>
        <w:spacing w:line="560" w:lineRule="exact"/>
        <w:ind w:left="620" w:firstLine="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各级要切实加强组织领导，把秋冬季大气污染防治攻坚行动作为“十四五”深入打好蓝天保卫战、重污染天气消除攻坚战的 关键举措，全面落实“党政同责、一岗双责”，各级各部门主要 领导和分管领导要严格落实责任，加强工作谋划，制定相应的专 项方案，确保承担工作按时完成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同时，要坚决防止“一刀切”, 不得采取“一律关停”“先停再说”等简单粗暴措施。</w:t>
      </w:r>
    </w:p>
    <w:p>
      <w:pPr>
        <w:pStyle w:val="11"/>
        <w:tabs>
          <w:tab w:val="left" w:pos="1410"/>
        </w:tabs>
        <w:spacing w:line="560" w:lineRule="exact"/>
        <w:ind w:firstLine="640"/>
        <w:jc w:val="both"/>
        <w:rPr>
          <w:rFonts w:ascii="仿宋_GB2312" w:hAnsi="仿宋_GB2312" w:eastAsia="仿宋_GB2312" w:cs="仿宋_GB2312"/>
          <w:sz w:val="32"/>
          <w:szCs w:val="32"/>
        </w:rPr>
      </w:pPr>
      <w:bookmarkStart w:id="36" w:name="bookmark46"/>
      <w:r>
        <w:rPr>
          <w:rFonts w:hint="eastAsia" w:ascii="楷体_GB2312" w:hAnsi="楷体_GB2312" w:eastAsia="楷体_GB2312" w:cs="楷体_GB2312"/>
          <w:sz w:val="32"/>
          <w:szCs w:val="32"/>
          <w:lang w:eastAsia="zh-CN"/>
        </w:rPr>
        <w:t>（</w:t>
      </w:r>
      <w:bookmarkEnd w:id="36"/>
      <w:r>
        <w:rPr>
          <w:rFonts w:hint="eastAsia" w:ascii="楷体_GB2312" w:hAnsi="楷体_GB2312" w:eastAsia="楷体_GB2312" w:cs="楷体_GB2312"/>
          <w:sz w:val="32"/>
          <w:szCs w:val="32"/>
          <w:lang w:eastAsia="zh-CN"/>
        </w:rPr>
        <w:t>二）加强监督帮扶</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各级各部门要围绕主要任务，精准、高效开展监督执法帮扶，对排放稳定达标、运行管理规范、环境绩效水平</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的企业，纳入正面清单；对监督执法中发现的问题，要督促有关企业严格整改，并举一反三加强监管；对违法情节及后果严重、屡查屡犯的，要依法严厉查处，典型案例公开曝光。加强联合执法，在油品质量、煤炭质量、涉</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产品质量、柴油车尾气排放抽查等领域实施多部门联合执法，建立信息共享机制，形成执法合力。加大易发多发问题监管，对企业污染治理设施安装运行情况、废气旁路管理情况、排污口设置情况、运行记录台账等开展排查，加强执法监测联动。重点查处通过旁路、废弃烟道等偷排直排，未安装治污设施，不正常运行治污设施，超标排放，排污口不规范，台账弄虚作假等行为。</w:t>
      </w:r>
    </w:p>
    <w:p>
      <w:pPr>
        <w:pStyle w:val="11"/>
        <w:tabs>
          <w:tab w:val="left" w:pos="1410"/>
        </w:tabs>
        <w:spacing w:line="560" w:lineRule="exact"/>
        <w:ind w:firstLine="640"/>
        <w:jc w:val="both"/>
        <w:rPr>
          <w:rFonts w:ascii="仿宋_GB2312" w:hAnsi="仿宋_GB2312" w:eastAsia="仿宋_GB2312" w:cs="仿宋_GB2312"/>
          <w:sz w:val="32"/>
          <w:szCs w:val="32"/>
        </w:rPr>
      </w:pPr>
      <w:bookmarkStart w:id="37" w:name="bookmark47"/>
      <w:r>
        <w:rPr>
          <w:rFonts w:hint="eastAsia" w:ascii="楷体_GB2312" w:hAnsi="楷体_GB2312" w:eastAsia="楷体_GB2312" w:cs="楷体_GB2312"/>
          <w:sz w:val="32"/>
          <w:szCs w:val="32"/>
          <w:lang w:eastAsia="zh-CN"/>
        </w:rPr>
        <w:t>（</w:t>
      </w:r>
      <w:bookmarkEnd w:id="37"/>
      <w:r>
        <w:rPr>
          <w:rFonts w:hint="eastAsia" w:ascii="楷体_GB2312" w:hAnsi="楷体_GB2312" w:eastAsia="楷体_GB2312" w:cs="楷体_GB2312"/>
          <w:sz w:val="32"/>
          <w:szCs w:val="32"/>
          <w:lang w:eastAsia="zh-CN"/>
        </w:rPr>
        <w:t>三）严格奖惩考核</w:t>
      </w:r>
    </w:p>
    <w:p>
      <w:pPr>
        <w:pStyle w:val="11"/>
        <w:spacing w:line="560" w:lineRule="exact"/>
        <w:ind w:firstLine="64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攻坚办每周要对各街道办事处，</w:t>
      </w:r>
      <w:r>
        <w:rPr>
          <w:rFonts w:hint="eastAsia" w:ascii="仿宋_GB2312" w:hAnsi="仿宋_GB2312" w:eastAsia="仿宋_GB2312" w:cs="仿宋_GB2312"/>
          <w:sz w:val="32"/>
          <w:szCs w:val="32"/>
          <w:lang w:eastAsia="zh-CN"/>
        </w:rPr>
        <w:t>金岱产业集聚区管委会</w:t>
      </w:r>
      <w:r>
        <w:rPr>
          <w:rFonts w:hint="eastAsia" w:ascii="仿宋_GB2312" w:hAnsi="仿宋_GB2312" w:eastAsia="仿宋_GB2312" w:cs="仿宋_GB2312"/>
          <w:sz w:val="32"/>
          <w:szCs w:val="32"/>
        </w:rPr>
        <w:t>空气质量进行排名，排名结果</w:t>
      </w:r>
      <w:r>
        <w:rPr>
          <w:rFonts w:hint="eastAsia" w:ascii="仿宋_GB2312" w:hAnsi="仿宋_GB2312" w:eastAsia="仿宋_GB2312" w:cs="仿宋_GB2312"/>
          <w:sz w:val="32"/>
          <w:szCs w:val="32"/>
          <w:lang w:eastAsia="zh-CN"/>
        </w:rPr>
        <w:t>全区通报</w:t>
      </w:r>
      <w:r>
        <w:rPr>
          <w:rFonts w:hint="eastAsia" w:ascii="仿宋_GB2312" w:hAnsi="仿宋_GB2312" w:eastAsia="仿宋_GB2312" w:cs="仿宋_GB2312"/>
          <w:sz w:val="32"/>
          <w:szCs w:val="32"/>
        </w:rPr>
        <w:t>，对倒数后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名的</w:t>
      </w:r>
      <w:r>
        <w:rPr>
          <w:rFonts w:hint="eastAsia" w:ascii="仿宋_GB2312" w:hAnsi="仿宋_GB2312" w:eastAsia="仿宋_GB2312" w:cs="仿宋_GB2312"/>
          <w:sz w:val="32"/>
          <w:szCs w:val="32"/>
          <w:lang w:eastAsia="zh-CN"/>
        </w:rPr>
        <w:t>发警示函</w:t>
      </w:r>
      <w:r>
        <w:rPr>
          <w:rFonts w:hint="eastAsia" w:ascii="仿宋_GB2312" w:hAnsi="仿宋_GB2312" w:eastAsia="仿宋_GB2312" w:cs="仿宋_GB2312"/>
          <w:sz w:val="32"/>
          <w:szCs w:val="32"/>
        </w:rPr>
        <w:t>；对空气质量月考核倒数第一的全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通报批评，并约谈分管领导。对新发现</w:t>
      </w:r>
      <w:r>
        <w:rPr>
          <w:rFonts w:hint="eastAsia" w:ascii="仿宋_GB2312" w:hAnsi="仿宋_GB2312" w:eastAsia="仿宋_GB2312" w:cs="仿宋_GB2312"/>
          <w:sz w:val="32"/>
          <w:szCs w:val="32"/>
          <w:lang w:val="zh-CN" w:eastAsia="zh-CN" w:bidi="zh-CN"/>
        </w:rPr>
        <w:t>“散</w:t>
      </w:r>
      <w:r>
        <w:rPr>
          <w:rFonts w:hint="eastAsia" w:ascii="仿宋_GB2312" w:hAnsi="仿宋_GB2312" w:eastAsia="仿宋_GB2312" w:cs="仿宋_GB2312"/>
          <w:sz w:val="32"/>
          <w:szCs w:val="32"/>
        </w:rPr>
        <w:t>乱污”企业、违规使用高污染燃料的，对相关责任人进行量化追责</w:t>
      </w:r>
      <w:r>
        <w:rPr>
          <w:rFonts w:hint="eastAsia" w:ascii="仿宋_GB2312" w:hAnsi="仿宋_GB2312" w:eastAsia="仿宋_GB2312" w:cs="仿宋_GB2312"/>
          <w:sz w:val="32"/>
          <w:szCs w:val="32"/>
          <w:lang w:eastAsia="zh-CN"/>
        </w:rPr>
        <w:t>。</w:t>
      </w:r>
    </w:p>
    <w:p>
      <w:pPr>
        <w:pStyle w:val="11"/>
        <w:tabs>
          <w:tab w:val="left" w:pos="1422"/>
        </w:tabs>
        <w:spacing w:line="560" w:lineRule="exact"/>
        <w:ind w:firstLine="640"/>
        <w:jc w:val="both"/>
        <w:rPr>
          <w:rFonts w:ascii="仿宋_GB2312" w:hAnsi="仿宋_GB2312" w:eastAsia="仿宋_GB2312" w:cs="仿宋_GB2312"/>
          <w:sz w:val="32"/>
          <w:szCs w:val="32"/>
        </w:rPr>
      </w:pPr>
      <w:bookmarkStart w:id="38" w:name="bookmark48"/>
      <w:r>
        <w:rPr>
          <w:rFonts w:hint="eastAsia" w:ascii="楷体_GB2312" w:hAnsi="楷体_GB2312" w:eastAsia="楷体_GB2312" w:cs="楷体_GB2312"/>
          <w:sz w:val="32"/>
          <w:szCs w:val="32"/>
          <w:lang w:eastAsia="zh-CN"/>
        </w:rPr>
        <w:t>（</w:t>
      </w:r>
      <w:bookmarkEnd w:id="38"/>
      <w:r>
        <w:rPr>
          <w:rFonts w:hint="eastAsia" w:ascii="楷体_GB2312" w:hAnsi="楷体_GB2312" w:eastAsia="楷体_GB2312" w:cs="楷体_GB2312"/>
          <w:sz w:val="32"/>
          <w:szCs w:val="32"/>
          <w:lang w:eastAsia="zh-CN"/>
        </w:rPr>
        <w:t>四）加大财政支持</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严格落实价格政策支持、财政政策支持；充分利用空气质量 生态补偿资金，加大污染防治支持力度，重点保障污染减排、能 力建设等重点领域。发挥财政资金引导作用，激励支持企业实施 治污减排，帮助企业降低治理成本。要做好秋冬季大气污染防治 攻坚期间的物资保障工作，配备相应执法装备、防寒物资，做好 使用人员的考勤管理，切实提高工作效率。</w:t>
      </w:r>
    </w:p>
    <w:p>
      <w:pPr>
        <w:pStyle w:val="11"/>
        <w:tabs>
          <w:tab w:val="left" w:pos="1422"/>
        </w:tabs>
        <w:spacing w:line="560" w:lineRule="exact"/>
        <w:ind w:firstLine="640"/>
        <w:jc w:val="both"/>
        <w:rPr>
          <w:rFonts w:ascii="楷体_GB2312" w:hAnsi="楷体_GB2312" w:eastAsia="楷体_GB2312" w:cs="楷体_GB2312"/>
          <w:sz w:val="32"/>
          <w:szCs w:val="32"/>
          <w:lang w:eastAsia="zh-CN"/>
        </w:rPr>
      </w:pPr>
      <w:bookmarkStart w:id="39" w:name="bookmark49"/>
      <w:r>
        <w:rPr>
          <w:rFonts w:hint="eastAsia" w:ascii="楷体_GB2312" w:hAnsi="楷体_GB2312" w:eastAsia="楷体_GB2312" w:cs="楷体_GB2312"/>
          <w:sz w:val="32"/>
          <w:szCs w:val="32"/>
          <w:lang w:eastAsia="zh-CN"/>
        </w:rPr>
        <w:t>（</w:t>
      </w:r>
      <w:bookmarkEnd w:id="39"/>
      <w:r>
        <w:rPr>
          <w:rFonts w:hint="eastAsia" w:ascii="楷体_GB2312" w:hAnsi="楷体_GB2312" w:eastAsia="楷体_GB2312" w:cs="楷体_GB2312"/>
          <w:sz w:val="32"/>
          <w:szCs w:val="32"/>
          <w:lang w:eastAsia="zh-CN"/>
        </w:rPr>
        <w:t>五）完善监测监控体系</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加强污染源监测监控，依法将涉</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和氮氧化物的重点企业纳入重点排污单位名录，覆盖率不低于工业源</w:t>
      </w:r>
      <w:r>
        <w:rPr>
          <w:rFonts w:hint="eastAsia" w:ascii="仿宋_GB2312" w:hAnsi="仿宋_GB2312" w:eastAsia="仿宋_GB2312" w:cs="仿宋_GB2312"/>
          <w:sz w:val="32"/>
          <w:szCs w:val="32"/>
          <w:lang w:val="en-US" w:eastAsia="zh-CN" w:bidi="en-US"/>
        </w:rPr>
        <w:t>VOCs、</w:t>
      </w:r>
      <w:r>
        <w:rPr>
          <w:rFonts w:hint="eastAsia" w:ascii="仿宋_GB2312" w:hAnsi="仿宋_GB2312" w:eastAsia="仿宋_GB2312" w:cs="仿宋_GB2312"/>
          <w:sz w:val="32"/>
          <w:szCs w:val="32"/>
        </w:rPr>
        <w:t>氮氧化物排放量的65%,对已安装自动监测设备运行情况开展检查,对未保证自动监测设备正常运行、监测数据造假等违法问题要及时严肃查处。对第三方检测机构开展部门联合抽查，2022年3月底前，</w:t>
      </w:r>
      <w:r>
        <w:rPr>
          <w:rFonts w:hint="eastAsia" w:ascii="仿宋_GB2312" w:hAnsi="仿宋_GB2312" w:eastAsia="仿宋_GB2312" w:cs="仿宋_GB2312"/>
          <w:sz w:val="32"/>
          <w:szCs w:val="32"/>
          <w:lang w:eastAsia="zh-CN"/>
        </w:rPr>
        <w:t>全市将</w:t>
      </w:r>
      <w:r>
        <w:rPr>
          <w:rFonts w:hint="eastAsia" w:ascii="仿宋_GB2312" w:hAnsi="仿宋_GB2312" w:eastAsia="仿宋_GB2312" w:cs="仿宋_GB2312"/>
          <w:sz w:val="32"/>
          <w:szCs w:val="32"/>
        </w:rPr>
        <w:t>公开一批监测数据质量差甚至篡改、伪造监测数据的机构和人员名单。</w:t>
      </w:r>
    </w:p>
    <w:p>
      <w:pPr>
        <w:pStyle w:val="11"/>
        <w:tabs>
          <w:tab w:val="left" w:pos="1422"/>
        </w:tabs>
        <w:spacing w:line="560" w:lineRule="exact"/>
        <w:ind w:firstLine="640"/>
        <w:jc w:val="both"/>
        <w:rPr>
          <w:rFonts w:ascii="楷体_GB2312" w:hAnsi="楷体_GB2312" w:eastAsia="楷体_GB2312" w:cs="楷体_GB2312"/>
          <w:sz w:val="32"/>
          <w:szCs w:val="32"/>
          <w:lang w:eastAsia="zh-CN"/>
        </w:rPr>
      </w:pPr>
      <w:bookmarkStart w:id="40" w:name="bookmark50"/>
      <w:r>
        <w:rPr>
          <w:rFonts w:hint="eastAsia" w:ascii="楷体_GB2312" w:hAnsi="楷体_GB2312" w:eastAsia="楷体_GB2312" w:cs="楷体_GB2312"/>
          <w:sz w:val="32"/>
          <w:szCs w:val="32"/>
          <w:lang w:eastAsia="zh-CN"/>
        </w:rPr>
        <w:t>（</w:t>
      </w:r>
      <w:bookmarkEnd w:id="40"/>
      <w:r>
        <w:rPr>
          <w:rFonts w:hint="eastAsia" w:ascii="楷体_GB2312" w:hAnsi="楷体_GB2312" w:eastAsia="楷体_GB2312" w:cs="楷体_GB2312"/>
          <w:sz w:val="32"/>
          <w:szCs w:val="32"/>
          <w:lang w:eastAsia="zh-CN"/>
        </w:rPr>
        <w:t>六）确保调度质量</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攻坚办根据工作任务实施周调度，各单位按要求实施周报 制度。各牵头单位要安排专人负责，将各项工作任务开展情况于 每周</w:t>
      </w:r>
      <w:r>
        <w:rPr>
          <w:rFonts w:hint="eastAsia" w:ascii="仿宋_GB2312" w:hAnsi="仿宋_GB2312" w:eastAsia="仿宋_GB2312" w:cs="仿宋_GB2312"/>
          <w:sz w:val="32"/>
          <w:szCs w:val="32"/>
          <w:lang w:val="en-US" w:eastAsia="zh-CN"/>
        </w:rPr>
        <w:t>四下午</w:t>
      </w:r>
      <w:r>
        <w:rPr>
          <w:rFonts w:hint="eastAsia" w:ascii="仿宋_GB2312" w:hAnsi="仿宋_GB2312" w:eastAsia="仿宋_GB2312" w:cs="仿宋_GB2312"/>
          <w:sz w:val="32"/>
          <w:szCs w:val="32"/>
        </w:rPr>
        <w:t>（遇节假日为节假日前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天）报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攻坚办，每月30日前报当月工作总结，2022年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日前报送秋冬季攻坚总结。</w:t>
      </w:r>
    </w:p>
    <w:p>
      <w:pPr>
        <w:pStyle w:val="11"/>
        <w:spacing w:line="560" w:lineRule="exact"/>
        <w:ind w:firstLine="640"/>
        <w:jc w:val="both"/>
        <w:rPr>
          <w:rFonts w:ascii="仿宋_GB2312" w:hAnsi="仿宋_GB2312" w:eastAsia="仿宋_GB2312" w:cs="仿宋_GB2312"/>
          <w:sz w:val="32"/>
          <w:szCs w:val="32"/>
        </w:rPr>
      </w:pPr>
      <w:bookmarkStart w:id="41" w:name="bookmark51"/>
      <w:r>
        <w:rPr>
          <w:rFonts w:hint="eastAsia" w:ascii="楷体_GB2312" w:hAnsi="楷体_GB2312" w:eastAsia="楷体_GB2312" w:cs="楷体_GB2312"/>
          <w:sz w:val="32"/>
          <w:szCs w:val="32"/>
          <w:lang w:eastAsia="zh-CN"/>
        </w:rPr>
        <w:t>（</w:t>
      </w:r>
      <w:bookmarkEnd w:id="41"/>
      <w:r>
        <w:rPr>
          <w:rFonts w:hint="eastAsia" w:ascii="楷体_GB2312" w:hAnsi="楷体_GB2312" w:eastAsia="楷体_GB2312" w:cs="楷体_GB2312"/>
          <w:sz w:val="32"/>
          <w:szCs w:val="32"/>
          <w:lang w:eastAsia="zh-CN"/>
        </w:rPr>
        <w:t>七）做好宣传引导</w:t>
      </w:r>
    </w:p>
    <w:p>
      <w:pPr>
        <w:pStyle w:val="11"/>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各级各部门要加大秋冬季大气污染综合治理的宣传力度，畅 通社会工作参与生态环境保护渠道，充分发挥门户网站、微信公 众号、微博等新媒体的作用，及时公布信息，做好重污染天气应 急管控等相关措施解读，营造良好的社会舆论氛围。</w:t>
      </w:r>
    </w:p>
    <w:p>
      <w:pPr>
        <w:spacing w:line="600" w:lineRule="exact"/>
        <w:rPr>
          <w:rFonts w:eastAsia="宋体"/>
          <w:sz w:val="32"/>
          <w:szCs w:val="32"/>
          <w:lang w:eastAsia="zh-CN"/>
        </w:rPr>
      </w:pPr>
      <w:r>
        <w:rPr>
          <w:rFonts w:hint="eastAsia" w:ascii="黑体" w:hAnsi="黑体" w:eastAsia="黑体" w:cs="黑体"/>
          <w:sz w:val="32"/>
          <w:szCs w:val="32"/>
          <w:u w:val="single"/>
          <w:lang w:eastAsia="zh-CN" w:bidi="ar-SA"/>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170180</wp:posOffset>
                </wp:positionV>
                <wp:extent cx="635" cy="0"/>
                <wp:effectExtent l="0" t="0" r="0" b="0"/>
                <wp:wrapNone/>
                <wp:docPr id="3" name="自选图形 3"/>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2.95pt;margin-top:13.4pt;height:0pt;width:0.05pt;z-index:251660288;mso-width-relative:page;mso-height-relative:page;" filled="f" stroked="t" coordsize="21600,21600" o:gfxdata="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go0e0wAAAAUBAAAPAAAAAAAAAAEAIAAAACIAAABkcnMvZG93bnJldi54bWxQSwECFAAUAAAACACH&#10;TuJAM4w6gvABAADfAwAADgAAAAAAAAABACAAAAAiAQAAZHJzL2Uyb0RvYy54bWxQSwUGAAAAAAYA&#10;BgBZAQAAhAUAAAAA&#10;">
                <v:fill on="f" focussize="0,0"/>
                <v:stroke color="#000000" joinstyle="round"/>
                <v:imagedata o:title=""/>
                <o:lock v:ext="edit" aspectratio="f"/>
              </v:shape>
            </w:pict>
          </mc:Fallback>
        </mc:AlternateContent>
      </w:r>
      <w:r>
        <w:rPr>
          <w:rFonts w:hint="eastAsia" w:ascii="黑体" w:hAnsi="黑体" w:eastAsia="黑体" w:cs="黑体"/>
          <w:sz w:val="32"/>
          <w:szCs w:val="32"/>
          <w:u w:val="single"/>
          <w:lang w:eastAsia="zh-CN" w:bidi="ar-SA"/>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170180</wp:posOffset>
                </wp:positionV>
                <wp:extent cx="635" cy="0"/>
                <wp:effectExtent l="0" t="0" r="0" b="0"/>
                <wp:wrapNone/>
                <wp:docPr id="4" name="自选图形 2"/>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95pt;margin-top:13.4pt;height:0pt;width:0.05pt;z-index:251659264;mso-width-relative:page;mso-height-relative:page;" filled="f" stroked="t" coordsize="21600,21600" o:gfxdata="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go0e0wAAAAUBAAAPAAAAAAAAAAEAIAAAACIAAABkcnMvZG93bnJldi54bWxQSwECFAAUAAAACACH&#10;TuJA9kpQTPABAADfAwAADgAAAAAAAAABACAAAAAiAQAAZHJzL2Uyb0RvYy54bWxQSwUGAAAAAAYA&#10;BgBZAQAAhAUAAAAA&#10;">
                <v:fill on="f" focussize="0,0"/>
                <v:stroke color="#000000" joinstyle="round"/>
                <v:imagedata o:title=""/>
                <o:lock v:ext="edit" aspectratio="f"/>
              </v:shape>
            </w:pict>
          </mc:Fallback>
        </mc:AlternateContent>
      </w:r>
      <w:r>
        <w:rPr>
          <w:rFonts w:hint="eastAsia" w:eastAsia="宋体"/>
          <w:sz w:val="32"/>
          <w:szCs w:val="32"/>
          <w:lang w:eastAsia="zh-CN"/>
        </w:rPr>
        <w:t xml:space="preserve"> </w:t>
      </w:r>
      <w:bookmarkStart w:id="42" w:name="_GoBack"/>
      <w:bookmarkEnd w:id="42"/>
    </w:p>
    <w:sectPr>
      <w:headerReference r:id="rId5" w:type="default"/>
      <w:footerReference r:id="rId6" w:type="default"/>
      <w:footerReference r:id="rId7" w:type="even"/>
      <w:pgSz w:w="11900" w:h="16840"/>
      <w:pgMar w:top="2098" w:right="1531" w:bottom="1985" w:left="1531" w:header="1701" w:footer="1701"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sz w:val="24"/>
                              <w:lang w:eastAsia="zh-CN"/>
                            </w:rPr>
                          </w:pPr>
                          <w:r>
                            <w:rPr>
                              <w:rFonts w:eastAsia="宋体"/>
                              <w:sz w:val="24"/>
                              <w:lang w:eastAsia="zh-CN"/>
                            </w:rPr>
                            <w:t xml:space="preserve">— </w:t>
                          </w:r>
                          <w:r>
                            <w:rPr>
                              <w:rFonts w:eastAsia="宋体"/>
                              <w:sz w:val="24"/>
                              <w:lang w:eastAsia="zh-CN"/>
                            </w:rPr>
                            <w:fldChar w:fldCharType="begin"/>
                          </w:r>
                          <w:r>
                            <w:rPr>
                              <w:rFonts w:eastAsia="宋体"/>
                              <w:sz w:val="24"/>
                              <w:lang w:eastAsia="zh-CN"/>
                            </w:rPr>
                            <w:instrText xml:space="preserve"> PAGE  \* MERGEFORMAT </w:instrText>
                          </w:r>
                          <w:r>
                            <w:rPr>
                              <w:rFonts w:eastAsia="宋体"/>
                              <w:sz w:val="24"/>
                              <w:lang w:eastAsia="zh-CN"/>
                            </w:rPr>
                            <w:fldChar w:fldCharType="separate"/>
                          </w:r>
                          <w:r>
                            <w:rPr>
                              <w:rFonts w:eastAsia="宋体"/>
                              <w:sz w:val="24"/>
                              <w:lang w:eastAsia="zh-CN"/>
                            </w:rPr>
                            <w:t>15</w:t>
                          </w:r>
                          <w:r>
                            <w:rPr>
                              <w:rFonts w:eastAsia="宋体"/>
                              <w:sz w:val="24"/>
                              <w:lang w:eastAsia="zh-CN"/>
                            </w:rPr>
                            <w:fldChar w:fldCharType="end"/>
                          </w:r>
                          <w:r>
                            <w:rPr>
                              <w:rFonts w:eastAsia="宋体"/>
                              <w:sz w:val="24"/>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eastAsia="宋体"/>
                        <w:sz w:val="24"/>
                        <w:lang w:eastAsia="zh-CN"/>
                      </w:rPr>
                    </w:pPr>
                    <w:r>
                      <w:rPr>
                        <w:rFonts w:eastAsia="宋体"/>
                        <w:sz w:val="24"/>
                        <w:lang w:eastAsia="zh-CN"/>
                      </w:rPr>
                      <w:t xml:space="preserve">— </w:t>
                    </w:r>
                    <w:r>
                      <w:rPr>
                        <w:rFonts w:eastAsia="宋体"/>
                        <w:sz w:val="24"/>
                        <w:lang w:eastAsia="zh-CN"/>
                      </w:rPr>
                      <w:fldChar w:fldCharType="begin"/>
                    </w:r>
                    <w:r>
                      <w:rPr>
                        <w:rFonts w:eastAsia="宋体"/>
                        <w:sz w:val="24"/>
                        <w:lang w:eastAsia="zh-CN"/>
                      </w:rPr>
                      <w:instrText xml:space="preserve"> PAGE  \* MERGEFORMAT </w:instrText>
                    </w:r>
                    <w:r>
                      <w:rPr>
                        <w:rFonts w:eastAsia="宋体"/>
                        <w:sz w:val="24"/>
                        <w:lang w:eastAsia="zh-CN"/>
                      </w:rPr>
                      <w:fldChar w:fldCharType="separate"/>
                    </w:r>
                    <w:r>
                      <w:rPr>
                        <w:rFonts w:eastAsia="宋体"/>
                        <w:sz w:val="24"/>
                        <w:lang w:eastAsia="zh-CN"/>
                      </w:rPr>
                      <w:t>15</w:t>
                    </w:r>
                    <w:r>
                      <w:rPr>
                        <w:rFonts w:eastAsia="宋体"/>
                        <w:sz w:val="24"/>
                        <w:lang w:eastAsia="zh-CN"/>
                      </w:rPr>
                      <w:fldChar w:fldCharType="end"/>
                    </w:r>
                    <w:r>
                      <w:rPr>
                        <w:rFonts w:eastAsia="宋体"/>
                        <w:sz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sz w:val="24"/>
                              <w:lang w:eastAsia="zh-CN"/>
                            </w:rPr>
                          </w:pPr>
                          <w:r>
                            <w:rPr>
                              <w:rFonts w:eastAsia="宋体"/>
                              <w:sz w:val="24"/>
                              <w:lang w:eastAsia="zh-CN"/>
                            </w:rPr>
                            <w:t xml:space="preserve">— </w:t>
                          </w:r>
                          <w:r>
                            <w:rPr>
                              <w:rFonts w:eastAsia="宋体"/>
                              <w:sz w:val="24"/>
                              <w:lang w:eastAsia="zh-CN"/>
                            </w:rPr>
                            <w:fldChar w:fldCharType="begin"/>
                          </w:r>
                          <w:r>
                            <w:rPr>
                              <w:rFonts w:eastAsia="宋体"/>
                              <w:sz w:val="24"/>
                              <w:lang w:eastAsia="zh-CN"/>
                            </w:rPr>
                            <w:instrText xml:space="preserve"> PAGE  \* MERGEFORMAT </w:instrText>
                          </w:r>
                          <w:r>
                            <w:rPr>
                              <w:rFonts w:eastAsia="宋体"/>
                              <w:sz w:val="24"/>
                              <w:lang w:eastAsia="zh-CN"/>
                            </w:rPr>
                            <w:fldChar w:fldCharType="separate"/>
                          </w:r>
                          <w:r>
                            <w:rPr>
                              <w:rFonts w:eastAsia="宋体"/>
                              <w:sz w:val="24"/>
                              <w:lang w:eastAsia="zh-CN"/>
                            </w:rPr>
                            <w:t>14</w:t>
                          </w:r>
                          <w:r>
                            <w:rPr>
                              <w:rFonts w:eastAsia="宋体"/>
                              <w:sz w:val="24"/>
                              <w:lang w:eastAsia="zh-CN"/>
                            </w:rPr>
                            <w:fldChar w:fldCharType="end"/>
                          </w:r>
                          <w:r>
                            <w:rPr>
                              <w:rFonts w:eastAsia="宋体"/>
                              <w:sz w:val="24"/>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eastAsia="宋体"/>
                        <w:sz w:val="24"/>
                        <w:lang w:eastAsia="zh-CN"/>
                      </w:rPr>
                    </w:pPr>
                    <w:r>
                      <w:rPr>
                        <w:rFonts w:eastAsia="宋体"/>
                        <w:sz w:val="24"/>
                        <w:lang w:eastAsia="zh-CN"/>
                      </w:rPr>
                      <w:t xml:space="preserve">— </w:t>
                    </w:r>
                    <w:r>
                      <w:rPr>
                        <w:rFonts w:eastAsia="宋体"/>
                        <w:sz w:val="24"/>
                        <w:lang w:eastAsia="zh-CN"/>
                      </w:rPr>
                      <w:fldChar w:fldCharType="begin"/>
                    </w:r>
                    <w:r>
                      <w:rPr>
                        <w:rFonts w:eastAsia="宋体"/>
                        <w:sz w:val="24"/>
                        <w:lang w:eastAsia="zh-CN"/>
                      </w:rPr>
                      <w:instrText xml:space="preserve"> PAGE  \* MERGEFORMAT </w:instrText>
                    </w:r>
                    <w:r>
                      <w:rPr>
                        <w:rFonts w:eastAsia="宋体"/>
                        <w:sz w:val="24"/>
                        <w:lang w:eastAsia="zh-CN"/>
                      </w:rPr>
                      <w:fldChar w:fldCharType="separate"/>
                    </w:r>
                    <w:r>
                      <w:rPr>
                        <w:rFonts w:eastAsia="宋体"/>
                        <w:sz w:val="24"/>
                        <w:lang w:eastAsia="zh-CN"/>
                      </w:rPr>
                      <w:t>14</w:t>
                    </w:r>
                    <w:r>
                      <w:rPr>
                        <w:rFonts w:eastAsia="宋体"/>
                        <w:sz w:val="24"/>
                        <w:lang w:eastAsia="zh-CN"/>
                      </w:rPr>
                      <w:fldChar w:fldCharType="end"/>
                    </w:r>
                    <w:r>
                      <w:rPr>
                        <w:rFonts w:eastAsia="宋体"/>
                        <w:sz w:val="24"/>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E128A"/>
    <w:multiLevelType w:val="singleLevel"/>
    <w:tmpl w:val="86EE128A"/>
    <w:lvl w:ilvl="0" w:tentative="0">
      <w:start w:val="4"/>
      <w:numFmt w:val="chineseCounting"/>
      <w:suff w:val="nothing"/>
      <w:lvlText w:val="%1、"/>
      <w:lvlJc w:val="left"/>
      <w:rPr>
        <w:rFonts w:hint="eastAsia"/>
      </w:rPr>
    </w:lvl>
  </w:abstractNum>
  <w:abstractNum w:abstractNumId="1">
    <w:nsid w:val="CF092B84"/>
    <w:multiLevelType w:val="singleLevel"/>
    <w:tmpl w:val="CF092B84"/>
    <w:lvl w:ilvl="0" w:tentative="0">
      <w:start w:val="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F077C505"/>
    <w:multiLevelType w:val="singleLevel"/>
    <w:tmpl w:val="F077C505"/>
    <w:lvl w:ilvl="0" w:tentative="0">
      <w:start w:val="14"/>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
  <w:rsids>
    <w:rsidRoot w:val="00C84133"/>
    <w:rsid w:val="005B253F"/>
    <w:rsid w:val="006E0475"/>
    <w:rsid w:val="00B95DFC"/>
    <w:rsid w:val="00C84133"/>
    <w:rsid w:val="03227917"/>
    <w:rsid w:val="03A60F6D"/>
    <w:rsid w:val="077E5C96"/>
    <w:rsid w:val="07B176E2"/>
    <w:rsid w:val="0B895BD6"/>
    <w:rsid w:val="0C29471C"/>
    <w:rsid w:val="0E6265B3"/>
    <w:rsid w:val="0EBB6075"/>
    <w:rsid w:val="118B1CED"/>
    <w:rsid w:val="13157DCD"/>
    <w:rsid w:val="149337EF"/>
    <w:rsid w:val="15915B94"/>
    <w:rsid w:val="166E35D6"/>
    <w:rsid w:val="17E853F4"/>
    <w:rsid w:val="24602E90"/>
    <w:rsid w:val="25BE213B"/>
    <w:rsid w:val="261176A8"/>
    <w:rsid w:val="29100A61"/>
    <w:rsid w:val="298A6197"/>
    <w:rsid w:val="2E6552E2"/>
    <w:rsid w:val="2E98524A"/>
    <w:rsid w:val="34AE6F36"/>
    <w:rsid w:val="3806104D"/>
    <w:rsid w:val="396E7E4A"/>
    <w:rsid w:val="3EA13C6C"/>
    <w:rsid w:val="3F0C4493"/>
    <w:rsid w:val="3F4A7C9F"/>
    <w:rsid w:val="43794BE8"/>
    <w:rsid w:val="44E814D7"/>
    <w:rsid w:val="470C1DA1"/>
    <w:rsid w:val="47322409"/>
    <w:rsid w:val="4CC319A1"/>
    <w:rsid w:val="507922CC"/>
    <w:rsid w:val="51621554"/>
    <w:rsid w:val="519906E9"/>
    <w:rsid w:val="52CC59CA"/>
    <w:rsid w:val="54246E44"/>
    <w:rsid w:val="56367C6B"/>
    <w:rsid w:val="5A491CF1"/>
    <w:rsid w:val="5BD30CC1"/>
    <w:rsid w:val="5C071B3A"/>
    <w:rsid w:val="635D4A4B"/>
    <w:rsid w:val="65B775B9"/>
    <w:rsid w:val="6867464C"/>
    <w:rsid w:val="6A8C1753"/>
    <w:rsid w:val="6E717293"/>
    <w:rsid w:val="7806203F"/>
    <w:rsid w:val="78785601"/>
    <w:rsid w:val="7A7B6A8D"/>
    <w:rsid w:val="7B3653A0"/>
    <w:rsid w:val="7B421521"/>
    <w:rsid w:val="7DF7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jc w:val="both"/>
    </w:pPr>
    <w:rPr>
      <w:rFonts w:ascii="Calibri" w:hAnsi="Calibri" w:eastAsia="宋体"/>
      <w:kern w:val="2"/>
      <w:sz w:val="21"/>
      <w:szCs w:val="21"/>
      <w:lang w:eastAsia="zh-CN" w:bidi="ar-SA"/>
    </w:rPr>
  </w:style>
  <w:style w:type="paragraph" w:styleId="3">
    <w:name w:val="Body Text Indent"/>
    <w:basedOn w:val="1"/>
    <w:qFormat/>
    <w:uiPriority w:val="0"/>
    <w:pPr>
      <w:snapToGrid w:val="0"/>
      <w:spacing w:line="560" w:lineRule="exact"/>
      <w:ind w:firstLine="630"/>
    </w:pPr>
    <w:rPr>
      <w:rFonts w:ascii="仿宋_GB2312" w:eastAsia="仿宋_GB2312"/>
      <w:sz w:val="32"/>
    </w:rPr>
  </w:style>
  <w:style w:type="paragraph" w:styleId="4">
    <w:name w:val="Body Text"/>
    <w:basedOn w:val="1"/>
    <w:unhideWhenUsed/>
    <w:qFormat/>
    <w:uiPriority w:val="99"/>
    <w:pPr>
      <w:autoSpaceDE w:val="0"/>
      <w:autoSpaceDN w:val="0"/>
    </w:pPr>
    <w:rPr>
      <w:rFonts w:ascii="仿宋_GB2312" w:hAnsi="宋体" w:eastAsia="仿宋_GB2312" w:cs="宋体"/>
      <w:sz w:val="32"/>
      <w:szCs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9">
    <w:name w:val="page number"/>
    <w:basedOn w:val="8"/>
    <w:qFormat/>
    <w:uiPriority w:val="0"/>
  </w:style>
  <w:style w:type="character" w:customStyle="1" w:styleId="10">
    <w:name w:val="Body text|1_"/>
    <w:basedOn w:val="8"/>
    <w:link w:val="11"/>
    <w:qFormat/>
    <w:uiPriority w:val="0"/>
    <w:rPr>
      <w:rFonts w:ascii="宋体" w:hAnsi="宋体" w:eastAsia="宋体" w:cs="宋体"/>
      <w:sz w:val="28"/>
      <w:szCs w:val="28"/>
      <w:u w:val="none"/>
      <w:shd w:val="clear" w:color="auto" w:fill="auto"/>
      <w:lang w:val="zh-TW" w:eastAsia="zh-TW" w:bidi="zh-TW"/>
    </w:rPr>
  </w:style>
  <w:style w:type="paragraph" w:customStyle="1" w:styleId="11">
    <w:name w:val="Body text|1"/>
    <w:basedOn w:val="1"/>
    <w:link w:val="10"/>
    <w:qFormat/>
    <w:uiPriority w:val="0"/>
    <w:pPr>
      <w:spacing w:line="444" w:lineRule="auto"/>
      <w:ind w:firstLine="400"/>
    </w:pPr>
    <w:rPr>
      <w:rFonts w:ascii="宋体" w:hAnsi="宋体" w:eastAsia="宋体" w:cs="宋体"/>
      <w:sz w:val="28"/>
      <w:szCs w:val="28"/>
      <w:lang w:val="zh-TW" w:eastAsia="zh-TW" w:bidi="zh-TW"/>
    </w:rPr>
  </w:style>
  <w:style w:type="character" w:customStyle="1" w:styleId="12">
    <w:name w:val="Header or footer|2_"/>
    <w:basedOn w:val="8"/>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rPr>
      <w:sz w:val="20"/>
      <w:szCs w:val="20"/>
      <w:lang w:val="zh-TW" w:eastAsia="zh-TW" w:bidi="zh-TW"/>
    </w:rPr>
  </w:style>
  <w:style w:type="character" w:customStyle="1" w:styleId="14">
    <w:name w:val="Heading #1|1_"/>
    <w:basedOn w:val="8"/>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1|1"/>
    <w:basedOn w:val="1"/>
    <w:link w:val="14"/>
    <w:qFormat/>
    <w:uiPriority w:val="0"/>
    <w:pPr>
      <w:spacing w:after="250" w:line="730" w:lineRule="exact"/>
      <w:jc w:val="center"/>
      <w:outlineLvl w:val="0"/>
    </w:pPr>
    <w:rPr>
      <w:rFonts w:ascii="宋体" w:hAnsi="宋体" w:eastAsia="宋体" w:cs="宋体"/>
      <w:sz w:val="40"/>
      <w:szCs w:val="40"/>
      <w:lang w:val="zh-TW" w:eastAsia="zh-TW" w:bidi="zh-TW"/>
    </w:rPr>
  </w:style>
  <w:style w:type="character" w:customStyle="1" w:styleId="16">
    <w:name w:val="Body text|2_"/>
    <w:basedOn w:val="8"/>
    <w:link w:val="17"/>
    <w:qFormat/>
    <w:uiPriority w:val="0"/>
    <w:rPr>
      <w:sz w:val="30"/>
      <w:szCs w:val="30"/>
      <w:u w:val="none"/>
      <w:shd w:val="clear" w:color="auto" w:fill="auto"/>
      <w:lang w:val="zh-TW" w:eastAsia="zh-TW" w:bidi="zh-TW"/>
    </w:rPr>
  </w:style>
  <w:style w:type="paragraph" w:customStyle="1" w:styleId="17">
    <w:name w:val="Body text|2"/>
    <w:basedOn w:val="1"/>
    <w:link w:val="16"/>
    <w:qFormat/>
    <w:uiPriority w:val="0"/>
    <w:pPr>
      <w:jc w:val="center"/>
    </w:pPr>
    <w:rPr>
      <w:sz w:val="30"/>
      <w:szCs w:val="30"/>
      <w:lang w:val="zh-TW" w:eastAsia="zh-TW" w:bidi="zh-TW"/>
    </w:rPr>
  </w:style>
  <w:style w:type="character" w:customStyle="1" w:styleId="18">
    <w:name w:val="Header or footer|1_"/>
    <w:basedOn w:val="8"/>
    <w:link w:val="19"/>
    <w:qFormat/>
    <w:uiPriority w:val="0"/>
    <w:rPr>
      <w:sz w:val="26"/>
      <w:szCs w:val="26"/>
      <w:u w:val="none"/>
      <w:shd w:val="clear" w:color="auto" w:fill="auto"/>
      <w:lang w:val="zh-TW" w:eastAsia="zh-TW" w:bidi="zh-TW"/>
    </w:rPr>
  </w:style>
  <w:style w:type="paragraph" w:customStyle="1" w:styleId="19">
    <w:name w:val="Header or footer|1"/>
    <w:basedOn w:val="1"/>
    <w:link w:val="18"/>
    <w:qFormat/>
    <w:uiPriority w:val="0"/>
    <w:rPr>
      <w:sz w:val="26"/>
      <w:szCs w:val="26"/>
      <w:lang w:val="zh-TW" w:eastAsia="zh-TW" w:bidi="zh-TW"/>
    </w:rPr>
  </w:style>
  <w:style w:type="character" w:customStyle="1" w:styleId="20">
    <w:name w:val="Other|1_"/>
    <w:basedOn w:val="8"/>
    <w:link w:val="21"/>
    <w:qFormat/>
    <w:uiPriority w:val="0"/>
    <w:rPr>
      <w:rFonts w:ascii="宋体" w:hAnsi="宋体" w:eastAsia="宋体" w:cs="宋体"/>
      <w:sz w:val="28"/>
      <w:szCs w:val="28"/>
      <w:u w:val="none"/>
      <w:shd w:val="clear" w:color="auto" w:fill="auto"/>
      <w:lang w:val="zh-TW" w:eastAsia="zh-TW" w:bidi="zh-TW"/>
    </w:rPr>
  </w:style>
  <w:style w:type="paragraph" w:customStyle="1" w:styleId="21">
    <w:name w:val="Other|1"/>
    <w:basedOn w:val="1"/>
    <w:link w:val="20"/>
    <w:qFormat/>
    <w:uiPriority w:val="0"/>
    <w:pPr>
      <w:spacing w:line="444" w:lineRule="auto"/>
      <w:ind w:firstLine="400"/>
    </w:pPr>
    <w:rPr>
      <w:rFonts w:ascii="宋体" w:hAnsi="宋体" w:eastAsia="宋体" w:cs="宋体"/>
      <w:sz w:val="28"/>
      <w:szCs w:val="28"/>
      <w:lang w:val="zh-TW" w:eastAsia="zh-TW" w:bidi="zh-TW"/>
    </w:rPr>
  </w:style>
  <w:style w:type="paragraph" w:customStyle="1" w:styleId="22">
    <w:name w:val="M-5正文"/>
    <w:qFormat/>
    <w:uiPriority w:val="0"/>
    <w:pPr>
      <w:spacing w:line="600" w:lineRule="exact"/>
      <w:ind w:firstLine="200" w:firstLineChars="200"/>
      <w:jc w:val="both"/>
    </w:pPr>
    <w:rPr>
      <w:rFonts w:ascii="Times New Roman" w:hAnsi="Times New Roman" w:eastAsia="仿宋" w:cs="Times New Roman (正文 CS 字体)"/>
      <w:kern w:val="2"/>
      <w:sz w:val="32"/>
      <w:szCs w:val="21"/>
      <w:lang w:val="en-US" w:eastAsia="zh-CN" w:bidi="ar-SA"/>
    </w:rPr>
  </w:style>
  <w:style w:type="paragraph" w:customStyle="1" w:styleId="23">
    <w:name w:val="M-3标题"/>
    <w:qFormat/>
    <w:uiPriority w:val="0"/>
    <w:pPr>
      <w:spacing w:line="600" w:lineRule="exact"/>
      <w:jc w:val="center"/>
      <w:outlineLvl w:val="0"/>
    </w:pPr>
    <w:rPr>
      <w:rFonts w:ascii="方正小标宋简体" w:eastAsia="方正小标宋简体" w:hAnsiTheme="minorHAnsi" w:cstheme="minorBidi"/>
      <w:kern w:val="2"/>
      <w:sz w:val="44"/>
      <w:szCs w:val="21"/>
      <w:lang w:val="en-US" w:eastAsia="zh-CN" w:bidi="ar-SA"/>
    </w:rPr>
  </w:style>
  <w:style w:type="paragraph" w:customStyle="1" w:styleId="24">
    <w:name w:val="Table Paragraph"/>
    <w:basedOn w:val="1"/>
    <w:qFormat/>
    <w:uiPriority w:val="1"/>
    <w:rPr>
      <w:rFonts w:ascii="仿宋_GB2312" w:hAnsi="仿宋_GB2312" w:eastAsia="仿宋_GB2312" w:cs="仿宋_GB2312"/>
      <w:lang w:val="zh-CN" w:bidi="zh-CN"/>
    </w:rPr>
  </w:style>
  <w:style w:type="paragraph" w:customStyle="1" w:styleId="25">
    <w:name w:val="三仿"/>
    <w:basedOn w:val="1"/>
    <w:qFormat/>
    <w:uiPriority w:val="0"/>
    <w:pPr>
      <w:snapToGrid w:val="0"/>
      <w:spacing w:line="567" w:lineRule="atLeast"/>
      <w:ind w:firstLine="646"/>
    </w:pPr>
    <w:rPr>
      <w:rFonts w:eastAsia="仿宋_GB2312"/>
      <w:snapToGrid w:val="0"/>
      <w:spacing w:val="6"/>
      <w:sz w:val="32"/>
    </w:rPr>
  </w:style>
  <w:style w:type="character" w:customStyle="1" w:styleId="26">
    <w:name w:val="段K"/>
    <w:basedOn w:val="8"/>
    <w:qFormat/>
    <w:uiPriority w:val="0"/>
    <w:rPr>
      <w:rFonts w:ascii="Times New Roman" w:hAnsi="Times New Roman" w:eastAsia="楷体_GB2312"/>
      <w:spacing w:val="6"/>
      <w:w w:val="100"/>
      <w:kern w:val="0"/>
      <w:position w:val="0"/>
    </w:rPr>
  </w:style>
  <w:style w:type="paragraph" w:styleId="27">
    <w:name w:val="List Paragraph"/>
    <w:basedOn w:val="1"/>
    <w:qFormat/>
    <w:uiPriority w:val="1"/>
    <w:pPr>
      <w:spacing w:before="149"/>
      <w:ind w:left="300" w:right="439" w:firstLine="640"/>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1021</Words>
  <Characters>5820</Characters>
  <Lines>48</Lines>
  <Paragraphs>13</Paragraphs>
  <TotalTime>5</TotalTime>
  <ScaleCrop>false</ScaleCrop>
  <LinksUpToDate>false</LinksUpToDate>
  <CharactersWithSpaces>6828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2021-11-29T03:56:00Z</dcterms:created>
  <dc:creator>Administrator</dc:creator>
  <cp:lastModifiedBy> リえぃ木子이 옥 </cp:lastModifiedBy>
  <cp:lastPrinted>2021-11-24T05:51:00Z</cp:lastPrinted>
  <dcterms:modified xsi:type="dcterms:W3CDTF">2022-01-17T04:24:05Z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12EA1FFAD8084753AFD035171F436F46</vt:lpwstr>
  </property>
</Properties>
</file>