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i w:val="0"/>
          <w:iCs w:val="0"/>
          <w:caps w:val="0"/>
          <w:color w:val="0D0D0D" w:themeColor="text1" w:themeTint="F2"/>
          <w:spacing w:val="0"/>
          <w:sz w:val="44"/>
          <w:szCs w:val="44"/>
          <w:lang w:eastAsia="zh-CN"/>
          <w14:textFill>
            <w14:solidFill>
              <w14:schemeClr w14:val="tx1">
                <w14:lumMod w14:val="95000"/>
                <w14:lumOff w14:val="5000"/>
              </w14:schemeClr>
            </w14:solidFill>
          </w14:textFill>
        </w:rPr>
      </w:pPr>
      <w:r>
        <w:rPr>
          <w:rFonts w:hint="eastAsia" w:ascii="方正小标宋简体" w:hAnsi="方正小标宋简体" w:eastAsia="方正小标宋简体" w:cs="方正小标宋简体"/>
          <w:sz w:val="44"/>
          <w:szCs w:val="44"/>
        </w:rPr>
        <w:t>《管城区关于工商企业等社会资本流转农村土地经营权审查审核的实施意见（试行）》</w:t>
      </w:r>
      <w:r>
        <w:rPr>
          <w:rFonts w:hint="eastAsia" w:ascii="方正小标宋简体" w:hAnsi="方正小标宋简体" w:eastAsia="方正小标宋简体" w:cs="方正小标宋简体"/>
          <w:i w:val="0"/>
          <w:iCs w:val="0"/>
          <w:caps w:val="0"/>
          <w:color w:val="0D0D0D" w:themeColor="text1" w:themeTint="F2"/>
          <w:spacing w:val="0"/>
          <w:sz w:val="44"/>
          <w:szCs w:val="44"/>
          <w:lang w:eastAsia="zh-CN"/>
          <w14:textFill>
            <w14:solidFill>
              <w14:schemeClr w14:val="tx1">
                <w14:lumMod w14:val="95000"/>
                <w14:lumOff w14:val="5000"/>
              </w14:schemeClr>
            </w14:solidFill>
          </w14:textFill>
        </w:rPr>
        <w:t>起草说明</w:t>
      </w:r>
    </w:p>
    <w:p>
      <w:pPr>
        <w:pStyle w:val="2"/>
        <w:rPr>
          <w:rFonts w:hint="eastAsia" w:ascii="方正小标宋简体" w:hAnsi="方正小标宋简体" w:eastAsia="方正小标宋简体" w:cs="方正小标宋简体"/>
          <w:i w:val="0"/>
          <w:iCs w:val="0"/>
          <w:caps w:val="0"/>
          <w:color w:val="0D0D0D" w:themeColor="text1" w:themeTint="F2"/>
          <w:spacing w:val="0"/>
          <w:sz w:val="32"/>
          <w:szCs w:val="32"/>
          <w:lang w:val="en-US" w:eastAsia="zh-CN"/>
          <w14:textFill>
            <w14:solidFill>
              <w14:schemeClr w14:val="tx1">
                <w14:lumMod w14:val="95000"/>
                <w14:lumOff w14:val="5000"/>
              </w14:schemeClr>
            </w14:solidFill>
          </w14:textFill>
        </w:rPr>
      </w:pPr>
    </w:p>
    <w:p>
      <w:pPr>
        <w:pStyle w:val="2"/>
        <w:ind w:left="0" w:leftChars="0" w:firstLine="640" w:firstLineChars="200"/>
        <w:rPr>
          <w:rFonts w:hint="eastAsia" w:ascii="黑体" w:hAnsi="黑体" w:eastAsia="黑体" w:cs="黑体"/>
          <w:i w:val="0"/>
          <w:iCs w:val="0"/>
          <w:caps w:val="0"/>
          <w:color w:val="0D0D0D" w:themeColor="text1" w:themeTint="F2"/>
          <w:spacing w:val="0"/>
          <w:sz w:val="32"/>
          <w:szCs w:val="32"/>
          <w:lang w:val="en-US" w:eastAsia="zh-CN"/>
          <w14:textFill>
            <w14:solidFill>
              <w14:schemeClr w14:val="tx1">
                <w14:lumMod w14:val="95000"/>
                <w14:lumOff w14:val="5000"/>
              </w14:schemeClr>
            </w14:solidFill>
          </w14:textFill>
        </w:rPr>
      </w:pPr>
      <w:r>
        <w:rPr>
          <w:rFonts w:hint="eastAsia" w:ascii="黑体" w:hAnsi="黑体" w:eastAsia="黑体" w:cs="黑体"/>
          <w:i w:val="0"/>
          <w:iCs w:val="0"/>
          <w:caps w:val="0"/>
          <w:color w:val="0D0D0D" w:themeColor="text1" w:themeTint="F2"/>
          <w:spacing w:val="0"/>
          <w:sz w:val="32"/>
          <w:szCs w:val="32"/>
          <w:lang w:val="en-US" w:eastAsia="zh-CN"/>
          <w14:textFill>
            <w14:solidFill>
              <w14:schemeClr w14:val="tx1">
                <w14:lumMod w14:val="95000"/>
                <w14:lumOff w14:val="5000"/>
              </w14:schemeClr>
            </w14:solidFill>
          </w14:textFill>
        </w:rPr>
        <w:t>一、</w:t>
      </w:r>
      <w:r>
        <w:rPr>
          <w:rFonts w:hint="eastAsia" w:ascii="黑体" w:hAnsi="黑体" w:eastAsia="黑体" w:cs="黑体"/>
          <w:sz w:val="32"/>
          <w:szCs w:val="32"/>
        </w:rPr>
        <w:t>制定背景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2021年10月以来，根据河南省流转耕地“非农化”“非粮化”专项整治工作精神，</w:t>
      </w:r>
      <w:r>
        <w:rPr>
          <w:rFonts w:hint="eastAsia" w:ascii="仿宋_GB2312" w:hAnsi="仿宋_GB2312" w:eastAsia="仿宋_GB2312" w:cs="仿宋_GB2312"/>
          <w:color w:val="000000"/>
          <w:sz w:val="32"/>
          <w:szCs w:val="32"/>
          <w:lang w:val="en-US" w:eastAsia="zh-CN"/>
        </w:rPr>
        <w:t>管城</w:t>
      </w:r>
      <w:r>
        <w:rPr>
          <w:rFonts w:hint="eastAsia" w:ascii="仿宋_GB2312" w:hAnsi="仿宋_GB2312" w:eastAsia="仿宋_GB2312" w:cs="仿宋_GB2312"/>
          <w:color w:val="000000"/>
          <w:sz w:val="32"/>
          <w:szCs w:val="32"/>
        </w:rPr>
        <w:t>区</w:t>
      </w:r>
      <w:r>
        <w:rPr>
          <w:rFonts w:hint="eastAsia" w:ascii="仿宋_GB2312" w:hAnsi="仿宋_GB2312" w:eastAsia="仿宋_GB2312" w:cs="仿宋_GB2312"/>
          <w:sz w:val="32"/>
          <w:szCs w:val="32"/>
        </w:rPr>
        <w:t>以工商资本、农民合作社、家庭农场等经营主体流转土地从事耕地</w:t>
      </w:r>
      <w:r>
        <w:rPr>
          <w:rFonts w:hint="eastAsia" w:ascii="仿宋_GB2312" w:hAnsi="仿宋_GB2312" w:eastAsia="仿宋_GB2312" w:cs="仿宋_GB2312"/>
          <w:sz w:val="32"/>
          <w:szCs w:val="32"/>
          <w:lang w:val="zh-CN" w:bidi="zh-CN"/>
        </w:rPr>
        <w:t>“非</w:t>
      </w:r>
      <w:r>
        <w:rPr>
          <w:rFonts w:hint="eastAsia" w:ascii="仿宋_GB2312" w:hAnsi="仿宋_GB2312" w:eastAsia="仿宋_GB2312" w:cs="仿宋_GB2312"/>
          <w:sz w:val="32"/>
          <w:szCs w:val="32"/>
        </w:rPr>
        <w:t>农化”</w:t>
      </w:r>
      <w:r>
        <w:rPr>
          <w:rFonts w:hint="eastAsia" w:ascii="仿宋_GB2312" w:hAnsi="仿宋_GB2312" w:eastAsia="仿宋_GB2312" w:cs="仿宋_GB2312"/>
          <w:sz w:val="32"/>
          <w:szCs w:val="32"/>
          <w:lang w:val="zh-CN" w:bidi="zh-CN"/>
        </w:rPr>
        <w:t>“非</w:t>
      </w:r>
      <w:r>
        <w:rPr>
          <w:rFonts w:hint="eastAsia" w:ascii="仿宋_GB2312" w:hAnsi="仿宋_GB2312" w:eastAsia="仿宋_GB2312" w:cs="仿宋_GB2312"/>
          <w:sz w:val="32"/>
          <w:szCs w:val="32"/>
        </w:rPr>
        <w:t>粮化”行为为重点，开展了</w:t>
      </w:r>
      <w:r>
        <w:rPr>
          <w:rFonts w:hint="eastAsia" w:ascii="仿宋_GB2312" w:hAnsi="仿宋_GB2312" w:eastAsia="仿宋_GB2312" w:cs="仿宋_GB2312"/>
          <w:sz w:val="32"/>
          <w:szCs w:val="32"/>
          <w:lang w:val="en-US" w:eastAsia="zh-CN"/>
        </w:rPr>
        <w:t>为期三个月的</w:t>
      </w:r>
      <w:bookmarkStart w:id="0" w:name="_GoBack"/>
      <w:bookmarkEnd w:id="0"/>
      <w:r>
        <w:rPr>
          <w:rFonts w:hint="eastAsia" w:ascii="仿宋_GB2312" w:hAnsi="仿宋_GB2312" w:eastAsia="仿宋_GB2312" w:cs="仿宋_GB2312"/>
          <w:sz w:val="32"/>
          <w:szCs w:val="32"/>
        </w:rPr>
        <w:t>专项整治。在本次整治工作中,省、市将“建立对工商资本租赁农地监管和风险防范审查审核机制”作为一项整改内容进行了明确要求。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引导农村土地经营权有序流转，加强工商资本租赁农地规范管理，促进我区农村土地流转风险防范机制的完善，依据农村土地承包的相关法律法规规章、《河南省农业厅、省委农办、省国土资源厅、省工商行政管理局关于加强对工商资本租赁农地监管和风险防范的实施办法》（豫农经管〔2016〕4号）和郑州市人民政府关于完善农村土地所有权承包权经营权分置办法的实施意见》（郑政〔2018〕12号）</w:t>
      </w:r>
      <w:r>
        <w:rPr>
          <w:rFonts w:hint="eastAsia" w:ascii="仿宋_GB2312" w:hAnsi="仿宋_GB2312" w:eastAsia="仿宋_GB2312" w:cs="仿宋_GB2312"/>
          <w:sz w:val="32"/>
          <w:szCs w:val="32"/>
          <w:lang w:val="en-US" w:eastAsia="zh-CN"/>
        </w:rPr>
        <w:t>等文件</w:t>
      </w:r>
      <w:r>
        <w:rPr>
          <w:rFonts w:hint="eastAsia" w:ascii="仿宋_GB2312" w:hAnsi="仿宋_GB2312" w:eastAsia="仿宋_GB2312" w:cs="仿宋_GB2312"/>
          <w:sz w:val="32"/>
          <w:szCs w:val="32"/>
        </w:rPr>
        <w:t xml:space="preserve">，结合我区实际，制定本意见。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制定依据</w:t>
      </w:r>
    </w:p>
    <w:p>
      <w:pPr>
        <w:pStyle w:val="2"/>
        <w:keepNext w:val="0"/>
        <w:keepLines w:val="0"/>
        <w:pageBreakBefore w:val="0"/>
        <w:widowControl w:val="0"/>
        <w:numPr>
          <w:ilvl w:val="0"/>
          <w:numId w:val="2"/>
        </w:numPr>
        <w:kinsoku/>
        <w:wordWrap/>
        <w:overflowPunct/>
        <w:topLinePunct w:val="0"/>
        <w:bidi w:val="0"/>
        <w:snapToGrid/>
        <w:spacing w:line="560" w:lineRule="exact"/>
        <w:ind w:left="0" w:leftChars="0" w:firstLine="598" w:firstLineChars="187"/>
        <w:jc w:val="both"/>
        <w:textAlignment w:val="auto"/>
        <w:rPr>
          <w:rFonts w:hint="eastAsia" w:hAnsi="仿宋_GB2312" w:cs="仿宋_GB2312"/>
          <w:sz w:val="32"/>
          <w:szCs w:val="32"/>
          <w:lang w:val="en-US" w:eastAsia="zh-CN"/>
        </w:rPr>
      </w:pPr>
      <w:r>
        <w:rPr>
          <w:rFonts w:hint="eastAsia" w:ascii="仿宋_GB2312" w:hAnsi="仿宋_GB2312" w:eastAsia="仿宋_GB2312" w:cs="仿宋_GB2312"/>
          <w:sz w:val="32"/>
          <w:szCs w:val="32"/>
        </w:rPr>
        <w:t>《河南省农业厅、省委农办、省国土资源厅、省工商行政管理局关于加强对工商资本租赁农地监管和风险防范的实施办法》（豫农经管〔2016〕4号）</w:t>
      </w:r>
    </w:p>
    <w:p>
      <w:pPr>
        <w:pStyle w:val="2"/>
        <w:keepNext w:val="0"/>
        <w:keepLines w:val="0"/>
        <w:pageBreakBefore w:val="0"/>
        <w:widowControl w:val="0"/>
        <w:numPr>
          <w:ilvl w:val="0"/>
          <w:numId w:val="0"/>
        </w:numPr>
        <w:kinsoku/>
        <w:wordWrap/>
        <w:overflowPunct/>
        <w:topLinePunct w:val="0"/>
        <w:bidi w:val="0"/>
        <w:snapToGrid/>
        <w:spacing w:line="560" w:lineRule="exact"/>
        <w:ind w:left="0" w:leftChars="0" w:firstLine="598" w:firstLineChars="187"/>
        <w:jc w:val="both"/>
        <w:textAlignment w:val="auto"/>
        <w:rPr>
          <w:rFonts w:hint="eastAsia" w:ascii="仿宋_GB2312" w:hAnsi="仿宋_GB2312" w:eastAsia="仿宋_GB2312" w:cs="仿宋_GB2312"/>
          <w:sz w:val="32"/>
          <w:szCs w:val="32"/>
        </w:rPr>
      </w:pPr>
      <w:r>
        <w:rPr>
          <w:rFonts w:hint="eastAsia" w:hAnsi="仿宋_GB2312" w:cs="仿宋_GB2312"/>
          <w:sz w:val="32"/>
          <w:szCs w:val="32"/>
          <w:lang w:eastAsia="zh-CN"/>
        </w:rPr>
        <w:t>（</w:t>
      </w:r>
      <w:r>
        <w:rPr>
          <w:rFonts w:hint="eastAsia" w:hAnsi="仿宋_GB2312" w:cs="仿宋_GB2312"/>
          <w:sz w:val="32"/>
          <w:szCs w:val="32"/>
          <w:lang w:val="en-US" w:eastAsia="zh-CN"/>
        </w:rPr>
        <w:t>二）</w:t>
      </w:r>
      <w:r>
        <w:rPr>
          <w:rFonts w:hint="eastAsia" w:hAnsi="仿宋_GB2312" w:cs="仿宋_GB2312"/>
          <w:sz w:val="32"/>
          <w:szCs w:val="32"/>
          <w:lang w:eastAsia="zh-CN"/>
        </w:rPr>
        <w:t>《</w:t>
      </w:r>
      <w:r>
        <w:rPr>
          <w:rFonts w:hint="eastAsia" w:ascii="仿宋_GB2312" w:hAnsi="仿宋_GB2312" w:eastAsia="仿宋_GB2312" w:cs="仿宋_GB2312"/>
          <w:sz w:val="32"/>
          <w:szCs w:val="32"/>
        </w:rPr>
        <w:t>郑州市人民政府关于完善农村土地所有权承包权经营权分置办法的实施意见》（郑政〔2018〕12号）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三、主要内容</w:t>
      </w:r>
    </w:p>
    <w:p>
      <w:pPr>
        <w:pStyle w:val="2"/>
        <w:keepNext w:val="0"/>
        <w:keepLines w:val="0"/>
        <w:pageBreakBefore w:val="0"/>
        <w:widowControl w:val="0"/>
        <w:numPr>
          <w:ilvl w:val="0"/>
          <w:numId w:val="0"/>
        </w:numPr>
        <w:kinsoku/>
        <w:wordWrap/>
        <w:overflowPunct/>
        <w:topLinePunct w:val="0"/>
        <w:bidi w:val="0"/>
        <w:snapToGrid/>
        <w:spacing w:line="560" w:lineRule="exact"/>
        <w:ind w:left="0" w:leftChars="0" w:firstLine="598" w:firstLineChars="187"/>
        <w:jc w:val="both"/>
        <w:textAlignment w:val="auto"/>
        <w:rPr>
          <w:rFonts w:hint="eastAsia"/>
        </w:rPr>
      </w:pPr>
      <w:r>
        <w:rPr>
          <w:rFonts w:hint="eastAsia" w:ascii="仿宋_GB2312" w:hAnsi="仿宋_GB2312" w:eastAsia="仿宋_GB2312" w:cs="仿宋_GB2312"/>
          <w:kern w:val="0"/>
          <w:sz w:val="32"/>
          <w:szCs w:val="32"/>
          <w:lang w:val="zh-CN"/>
        </w:rPr>
        <w:t>《实施</w:t>
      </w:r>
      <w:r>
        <w:rPr>
          <w:rFonts w:hint="eastAsia" w:ascii="仿宋_GB2312" w:hAnsi="仿宋_GB2312" w:eastAsia="仿宋_GB2312" w:cs="仿宋_GB2312"/>
          <w:kern w:val="0"/>
          <w:sz w:val="32"/>
          <w:szCs w:val="32"/>
        </w:rPr>
        <w:t>意见》</w:t>
      </w:r>
      <w:r>
        <w:rPr>
          <w:rFonts w:hint="eastAsia" w:ascii="仿宋_GB2312" w:hAnsi="仿宋_GB2312" w:eastAsia="仿宋_GB2312" w:cs="仿宋_GB2312"/>
          <w:kern w:val="0"/>
          <w:sz w:val="32"/>
          <w:szCs w:val="32"/>
          <w:lang w:val="zh-CN"/>
        </w:rPr>
        <w:t>共分</w:t>
      </w:r>
      <w:r>
        <w:rPr>
          <w:rFonts w:hint="eastAsia" w:hAnsi="仿宋_GB2312" w:cs="仿宋_GB2312"/>
          <w:kern w:val="0"/>
          <w:sz w:val="32"/>
          <w:szCs w:val="32"/>
          <w:lang w:val="en-US" w:eastAsia="zh-CN"/>
        </w:rPr>
        <w:t>七</w:t>
      </w:r>
      <w:r>
        <w:rPr>
          <w:rFonts w:hint="eastAsia" w:ascii="仿宋_GB2312" w:hAnsi="仿宋_GB2312" w:eastAsia="仿宋_GB2312" w:cs="仿宋_GB2312"/>
          <w:kern w:val="0"/>
          <w:sz w:val="32"/>
          <w:szCs w:val="32"/>
        </w:rPr>
        <w:t>个部分：</w:t>
      </w:r>
      <w:r>
        <w:rPr>
          <w:rFonts w:hint="eastAsia" w:hAnsi="仿宋_GB2312" w:cs="仿宋_GB2312"/>
          <w:kern w:val="0"/>
          <w:sz w:val="32"/>
          <w:szCs w:val="32"/>
          <w:lang w:val="en-US" w:eastAsia="zh-CN"/>
        </w:rPr>
        <w:t>第一部分是审查审核原则；第二部分是审查审核内容；第三部分是实行层级审核制度，明确了分级管理的面积和审查审核主体等事项；第四部分是审查审核程序，明确了</w:t>
      </w:r>
      <w:r>
        <w:rPr>
          <w:rFonts w:hint="eastAsia" w:ascii="仿宋_GB2312" w:hAnsi="仿宋_GB2312" w:eastAsia="仿宋_GB2312" w:cs="仿宋_GB2312"/>
          <w:bCs/>
          <w:kern w:val="0"/>
          <w:sz w:val="32"/>
          <w:szCs w:val="32"/>
          <w:lang w:val="zh-CN"/>
        </w:rPr>
        <w:t>对工商资本租赁农地</w:t>
      </w:r>
      <w:r>
        <w:rPr>
          <w:rFonts w:hint="eastAsia" w:hAnsi="仿宋_GB2312" w:cs="仿宋_GB2312"/>
          <w:bCs/>
          <w:kern w:val="0"/>
          <w:sz w:val="32"/>
          <w:szCs w:val="32"/>
          <w:lang w:val="en-US" w:eastAsia="zh-CN"/>
        </w:rPr>
        <w:t>实施审查审核的具体实施步骤和相关要求；第五部分是审查审核资料，明确了审查审查需要提供的资料；第六部位是构建和完善风险风范体系；第七部分是组织领导。</w:t>
      </w:r>
    </w:p>
    <w:p>
      <w:pPr>
        <w:pStyle w:val="2"/>
        <w:keepNext w:val="0"/>
        <w:keepLines w:val="0"/>
        <w:pageBreakBefore w:val="0"/>
        <w:widowControl w:val="0"/>
        <w:kinsoku/>
        <w:wordWrap/>
        <w:overflowPunct/>
        <w:topLinePunct w:val="0"/>
        <w:bidi w:val="0"/>
        <w:snapToGrid/>
        <w:spacing w:line="560" w:lineRule="exact"/>
        <w:jc w:val="both"/>
        <w:textAlignment w:val="auto"/>
        <w:rPr>
          <w:rFonts w:hint="eastAsia" w:ascii="仿宋_GB2312" w:hAnsi="仿宋_GB2312" w:eastAsia="仿宋_GB2312" w:cs="仿宋_GB2312"/>
          <w:i w:val="0"/>
          <w:iCs w:val="0"/>
          <w:caps w:val="0"/>
          <w:color w:val="0D0D0D" w:themeColor="text1" w:themeTint="F2"/>
          <w:spacing w:val="0"/>
          <w:sz w:val="32"/>
          <w:szCs w:val="32"/>
          <w:lang w:eastAsia="zh-CN"/>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bidi w:val="0"/>
        <w:snapToGrid/>
        <w:spacing w:line="560" w:lineRule="exact"/>
        <w:jc w:val="both"/>
        <w:textAlignment w:val="auto"/>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bidi w:val="0"/>
        <w:snapToGrid/>
        <w:spacing w:line="560" w:lineRule="exact"/>
        <w:jc w:val="both"/>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16E719"/>
    <w:multiLevelType w:val="singleLevel"/>
    <w:tmpl w:val="9C16E719"/>
    <w:lvl w:ilvl="0" w:tentative="0">
      <w:start w:val="1"/>
      <w:numFmt w:val="chineseCounting"/>
      <w:suff w:val="nothing"/>
      <w:lvlText w:val="（%1）"/>
      <w:lvlJc w:val="left"/>
      <w:pPr>
        <w:ind w:left="600" w:leftChars="0" w:firstLine="0" w:firstLineChars="0"/>
      </w:pPr>
      <w:rPr>
        <w:rFonts w:hint="eastAsia"/>
      </w:rPr>
    </w:lvl>
  </w:abstractNum>
  <w:abstractNum w:abstractNumId="1">
    <w:nsid w:val="E2099381"/>
    <w:multiLevelType w:val="singleLevel"/>
    <w:tmpl w:val="E2099381"/>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AE791D"/>
    <w:rsid w:val="36AE791D"/>
    <w:rsid w:val="5A185BF2"/>
    <w:rsid w:val="76BA3CD4"/>
    <w:rsid w:val="7AAB0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Calibri" w:eastAsia="仿宋_GB2312" w:cs="Times New Roman"/>
      <w:color w:val="000000"/>
      <w:sz w:val="24"/>
      <w:szCs w:val="22"/>
      <w:lang w:val="en-US" w:eastAsia="zh-CN" w:bidi="ar-SA"/>
    </w:rPr>
  </w:style>
  <w:style w:type="paragraph" w:styleId="3">
    <w:name w:val="table of authorities"/>
    <w:basedOn w:val="1"/>
    <w:next w:val="1"/>
    <w:unhideWhenUsed/>
    <w:qFormat/>
    <w:uiPriority w:val="99"/>
    <w:pPr>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2022-04-08T08:48:00Z</dcterms:created>
  <dc:creator>Yu er</dc:creator>
  <cp:lastModifiedBy>DELL-PC</cp:lastModifiedBy>
  <dcterms:modified xsi:type="dcterms:W3CDTF">2022-08-26T08:21:46Z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2797D7A3138744D89D28E1E154082A3B</vt:lpwstr>
  </property>
</Properties>
</file>