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8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8"/>
          <w:sz w:val="44"/>
          <w:szCs w:val="44"/>
          <w:lang w:val="en-US" w:eastAsia="zh-CN"/>
        </w:rPr>
        <w:t>关于《管城回族区关于促进3岁以下婴幼儿照护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8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8"/>
          <w:sz w:val="44"/>
          <w:szCs w:val="44"/>
          <w:lang w:val="en-US" w:eastAsia="zh-CN"/>
        </w:rPr>
        <w:t>服务发展的实施方案》的政策解读</w:t>
      </w:r>
    </w:p>
    <w:p>
      <w:pPr>
        <w:jc w:val="center"/>
        <w:rPr>
          <w:rFonts w:ascii="仿宋_GB2312" w:eastAsia="仿宋_GB2312" w:cs="Times New Roman"/>
          <w:color w:val="000000"/>
          <w:sz w:val="32"/>
          <w:szCs w:val="32"/>
        </w:rPr>
      </w:pPr>
    </w:p>
    <w:p>
      <w:pPr>
        <w:widowControl w:val="0"/>
        <w:tabs>
          <w:tab w:val="left" w:pos="180"/>
          <w:tab w:val="left" w:pos="360"/>
        </w:tabs>
        <w:wordWrap/>
        <w:adjustRightInd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根据</w:t>
      </w: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河南省人民政府办公厅关于促进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3岁以下婴幼儿照护服务发展的实施意见</w:t>
      </w: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》（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豫政办</w:t>
      </w:r>
      <w:r>
        <w:rPr>
          <w:rFonts w:hint="eastAsia" w:ascii="仿宋" w:hAnsi="仿宋" w:eastAsia="仿宋" w:cs="仿宋"/>
          <w:sz w:val="32"/>
          <w:szCs w:val="32"/>
        </w:rPr>
        <w:t>〔20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要求，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区卫健委起草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  <w:t>《管城回族区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关于促进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3岁以下婴幼儿照护服务发展的实施方案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》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以下简称《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方案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》。</w:t>
      </w:r>
      <w:r>
        <w:rPr>
          <w:rFonts w:hint="eastAsia" w:ascii="仿宋_GB2312" w:hAnsi="华文宋体" w:eastAsia="仿宋_GB2312"/>
          <w:sz w:val="32"/>
          <w:szCs w:val="32"/>
        </w:rPr>
        <w:t>为更好地理解和贯彻实施《</w:t>
      </w:r>
      <w:r>
        <w:rPr>
          <w:rFonts w:hint="eastAsia" w:ascii="仿宋_GB2312" w:hAnsi="华文宋体" w:eastAsia="仿宋_GB2312"/>
          <w:sz w:val="32"/>
          <w:szCs w:val="32"/>
          <w:lang w:val="en-US" w:eastAsia="zh-CN"/>
        </w:rPr>
        <w:t>方案</w:t>
      </w:r>
      <w:r>
        <w:rPr>
          <w:rFonts w:hint="eastAsia" w:ascii="仿宋_GB2312" w:hAnsi="华文宋体" w:eastAsia="仿宋_GB2312"/>
          <w:sz w:val="32"/>
          <w:szCs w:val="32"/>
        </w:rPr>
        <w:t>》，</w:t>
      </w:r>
      <w:r>
        <w:rPr>
          <w:rFonts w:hint="eastAsia" w:ascii="仿宋_GB2312" w:hAnsi="华文宋体" w:eastAsia="仿宋_GB2312"/>
          <w:sz w:val="32"/>
          <w:szCs w:val="32"/>
          <w:lang w:eastAsia="zh-CN"/>
        </w:rPr>
        <w:t>现</w:t>
      </w:r>
      <w:r>
        <w:rPr>
          <w:rFonts w:hint="eastAsia" w:ascii="仿宋_GB2312" w:hAnsi="华文宋体" w:eastAsia="仿宋_GB2312"/>
          <w:sz w:val="32"/>
          <w:szCs w:val="32"/>
        </w:rPr>
        <w:t>对《</w:t>
      </w:r>
      <w:r>
        <w:rPr>
          <w:rFonts w:hint="eastAsia" w:ascii="仿宋_GB2312" w:hAnsi="华文宋体" w:eastAsia="仿宋_GB2312"/>
          <w:sz w:val="32"/>
          <w:szCs w:val="32"/>
          <w:lang w:val="en-US" w:eastAsia="zh-CN"/>
        </w:rPr>
        <w:t>方案</w:t>
      </w:r>
      <w:r>
        <w:rPr>
          <w:rFonts w:hint="eastAsia" w:ascii="仿宋_GB2312" w:hAnsi="华文宋体" w:eastAsia="仿宋_GB2312"/>
          <w:sz w:val="32"/>
          <w:szCs w:val="32"/>
        </w:rPr>
        <w:t>》进行解读。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一、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《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方案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》制定背景</w:t>
      </w:r>
    </w:p>
    <w:p>
      <w:pPr>
        <w:widowControl w:val="0"/>
        <w:wordWrap/>
        <w:adjustRightInd/>
        <w:snapToGrid/>
        <w:spacing w:before="0" w:after="0" w:line="57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/>
          <w:color w:val="auto"/>
          <w:sz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</w:rPr>
        <w:t>为贯彻落实</w:t>
      </w:r>
      <w:r>
        <w:rPr>
          <w:rFonts w:hint="eastAsia" w:ascii="仿宋" w:hAnsi="仿宋" w:eastAsia="仿宋" w:cs="仿宋"/>
          <w:sz w:val="32"/>
          <w:szCs w:val="32"/>
        </w:rPr>
        <w:t>《国务院办公厅关于促进3岁以下婴幼儿照护服务发展的指导意见》（国办发〔2019〕15号）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、《河南省人民政府办公厅关于促进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3岁以下婴幼儿照护服务发展的实施意见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豫政办</w:t>
      </w:r>
      <w:r>
        <w:rPr>
          <w:rFonts w:hint="eastAsia" w:ascii="仿宋" w:hAnsi="仿宋" w:eastAsia="仿宋" w:cs="仿宋"/>
          <w:sz w:val="32"/>
          <w:szCs w:val="32"/>
        </w:rPr>
        <w:t>〔20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号）文件精神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</w:rPr>
        <w:t>建立</w:t>
      </w: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完善</w:t>
      </w:r>
      <w:r>
        <w:rPr>
          <w:rFonts w:hint="eastAsia" w:ascii="仿宋_GB2312" w:hAnsi="仿宋_GB2312" w:eastAsia="仿宋_GB2312" w:cs="仿宋_GB2312"/>
          <w:color w:val="auto"/>
          <w:sz w:val="32"/>
        </w:rPr>
        <w:t>严格规范的</w:t>
      </w: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托育服务</w:t>
      </w:r>
      <w:r>
        <w:rPr>
          <w:rFonts w:hint="eastAsia" w:ascii="仿宋_GB2312" w:hAnsi="仿宋_GB2312" w:eastAsia="仿宋_GB2312" w:cs="仿宋_GB2312"/>
          <w:color w:val="auto"/>
          <w:sz w:val="32"/>
        </w:rPr>
        <w:t>行业综合监管制度</w:t>
      </w: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，结合我区实际，制定本实施方案</w:t>
      </w:r>
      <w:r>
        <w:rPr>
          <w:rFonts w:hint="eastAsia" w:ascii="仿宋_GB2312" w:hAnsi="仿宋_GB2312" w:eastAsia="仿宋_GB2312" w:cs="仿宋_GB2312"/>
          <w:color w:val="auto"/>
          <w:sz w:val="32"/>
        </w:rPr>
        <w:t>。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ascii="仿宋_GB2312" w:hAnsi="Times New Roman" w:eastAsia="仿宋_GB2312" w:cs="Times New Roman"/>
          <w:color w:val="000000"/>
          <w:kern w:val="32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、《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方案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》主要内容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ascii="仿宋_GB2312" w:hAnsi="Times New Roman" w:eastAsia="仿宋_GB2312" w:cs="Times New Roman"/>
          <w:color w:val="auto"/>
          <w:kern w:val="3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方案</w:t>
      </w:r>
      <w:r>
        <w:rPr>
          <w:rFonts w:hint="eastAsia" w:ascii="仿宋_GB2312" w:hAnsi="Times New Roman" w:eastAsia="仿宋_GB2312" w:cs="仿宋_GB2312"/>
          <w:color w:val="auto"/>
          <w:kern w:val="32"/>
          <w:sz w:val="32"/>
          <w:szCs w:val="32"/>
        </w:rPr>
        <w:t>》共分</w:t>
      </w:r>
      <w:r>
        <w:rPr>
          <w:rFonts w:hint="eastAsia" w:ascii="仿宋_GB2312" w:hAnsi="Times New Roman" w:eastAsia="仿宋_GB2312" w:cs="仿宋_GB2312"/>
          <w:color w:val="auto"/>
          <w:kern w:val="32"/>
          <w:sz w:val="32"/>
          <w:szCs w:val="32"/>
          <w:lang w:eastAsia="zh-CN"/>
        </w:rPr>
        <w:t>四</w:t>
      </w:r>
      <w:r>
        <w:rPr>
          <w:rFonts w:hint="eastAsia" w:ascii="仿宋_GB2312" w:hAnsi="Times New Roman" w:eastAsia="仿宋_GB2312" w:cs="仿宋_GB2312"/>
          <w:color w:val="auto"/>
          <w:kern w:val="32"/>
          <w:sz w:val="32"/>
          <w:szCs w:val="32"/>
        </w:rPr>
        <w:t>个部分：</w:t>
      </w:r>
    </w:p>
    <w:p>
      <w:pPr>
        <w:widowControl w:val="0"/>
        <w:wordWrap/>
        <w:adjustRightInd/>
        <w:snapToGrid/>
        <w:spacing w:before="0" w:after="0" w:line="57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Times New Roman" w:eastAsia="仿宋_GB2312" w:cs="仿宋_GB2312"/>
          <w:color w:val="000000"/>
          <w:kern w:val="32"/>
          <w:sz w:val="32"/>
          <w:szCs w:val="32"/>
          <w:lang w:eastAsia="zh-CN"/>
        </w:rPr>
      </w:pPr>
      <w:r>
        <w:rPr>
          <w:rFonts w:hint="eastAsia" w:ascii="楷体_GB2312" w:hAnsi="仿宋_GB2312" w:eastAsia="楷体_GB2312" w:cs="楷体_GB2312"/>
          <w:color w:val="000000"/>
          <w:sz w:val="32"/>
          <w:szCs w:val="32"/>
        </w:rPr>
        <w:t>第一部分</w:t>
      </w:r>
      <w:r>
        <w:rPr>
          <w:rFonts w:hint="eastAsia" w:ascii="仿宋_GB2312" w:hAnsi="Times New Roman" w:eastAsia="仿宋_GB2312" w:cs="仿宋_GB2312"/>
          <w:color w:val="000000"/>
          <w:kern w:val="32"/>
          <w:sz w:val="32"/>
          <w:szCs w:val="32"/>
        </w:rPr>
        <w:t>是总体要求</w:t>
      </w:r>
      <w:r>
        <w:rPr>
          <w:rFonts w:hint="eastAsia" w:ascii="仿宋_GB2312" w:hAnsi="Times New Roman" w:eastAsia="仿宋_GB2312" w:cs="仿宋_GB2312"/>
          <w:color w:val="000000"/>
          <w:kern w:val="32"/>
          <w:sz w:val="32"/>
          <w:szCs w:val="32"/>
          <w:lang w:eastAsia="zh-CN"/>
        </w:rPr>
        <w:t>，明确了托育服务行业的指导思想、基本原则和总体目标。</w:t>
      </w:r>
    </w:p>
    <w:p>
      <w:pPr>
        <w:widowControl w:val="0"/>
        <w:wordWrap/>
        <w:adjustRightInd/>
        <w:snapToGrid/>
        <w:spacing w:before="0" w:after="0" w:line="57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_GB2312" w:hAnsi="仿宋_GB2312" w:eastAsia="楷体_GB2312" w:cs="楷体_GB2312"/>
          <w:b w:val="0"/>
          <w:bCs w:val="0"/>
          <w:color w:val="000000"/>
          <w:sz w:val="32"/>
          <w:szCs w:val="32"/>
          <w:u w:val="none" w:color="auto"/>
          <w:lang w:val="en-US" w:eastAsia="zh-CN"/>
        </w:rPr>
      </w:pPr>
      <w:r>
        <w:rPr>
          <w:rFonts w:hint="eastAsia" w:ascii="楷体_GB2312" w:hAnsi="仿宋_GB2312" w:eastAsia="楷体_GB2312" w:cs="楷体_GB2312"/>
          <w:b w:val="0"/>
          <w:bCs w:val="0"/>
          <w:color w:val="000000"/>
          <w:sz w:val="32"/>
          <w:szCs w:val="32"/>
          <w:u w:val="none" w:color="auto"/>
          <w:lang w:val="en-US" w:eastAsia="zh-CN"/>
        </w:rPr>
        <w:t>第二部分是主要任务：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24"/>
          <w:lang w:val="en-US" w:eastAsia="zh-CN" w:bidi="ar-SA"/>
        </w:rPr>
        <w:t>在这个部分，明确了托育服务行业监管主体和监管责任，对各相关部门进行了分工，要求对托育服务行业进行全过程和全领域监管，还要创新监管机制，加强保障措施。详细要求如下：</w:t>
      </w:r>
    </w:p>
    <w:p>
      <w:pPr>
        <w:ind w:firstLine="648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（一）加强对家庭婴幼儿照护的支持和指导。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570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《方案》从</w:t>
      </w:r>
      <w:r>
        <w:rPr>
          <w:rFonts w:hint="eastAsia" w:ascii="仿宋" w:hAnsi="仿宋" w:eastAsia="仿宋" w:cs="仿宋"/>
          <w:sz w:val="32"/>
          <w:szCs w:val="32"/>
        </w:rPr>
        <w:t>依法保障职工产假、护理假期间待遇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落实；以及</w:t>
      </w:r>
      <w:r>
        <w:rPr>
          <w:rFonts w:hint="eastAsia" w:ascii="仿宋" w:hAnsi="仿宋" w:eastAsia="仿宋" w:cs="仿宋"/>
          <w:sz w:val="32"/>
          <w:szCs w:val="32"/>
        </w:rPr>
        <w:t>加强对家庭的婴幼儿早期发展指导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生活照料、保健护理、个体发展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膳食营养、生长发育、预防接种、安全防护、疾病防控等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3个方面，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明确了各责任单位</w:t>
      </w:r>
      <w:r>
        <w:rPr>
          <w:rFonts w:hint="eastAsia" w:ascii="仿宋_GB2312" w:hAnsi="仿宋_GB2312" w:eastAsia="仿宋_GB2312" w:cs="仿宋_GB2312"/>
          <w:color w:val="auto"/>
          <w:sz w:val="32"/>
          <w:u w:val="none" w:color="auto"/>
        </w:rPr>
        <w:t>监管主体和责任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。</w:t>
      </w:r>
    </w:p>
    <w:p>
      <w:pPr>
        <w:ind w:firstLine="648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（二）加大社区婴幼儿照护服务设施规划建设力度。</w:t>
      </w:r>
    </w:p>
    <w:p>
      <w:pPr>
        <w:ind w:firstLine="648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《方案》从要求相关单位</w:t>
      </w:r>
      <w:r>
        <w:rPr>
          <w:rFonts w:hint="eastAsia" w:ascii="仿宋" w:hAnsi="仿宋" w:eastAsia="仿宋" w:cs="仿宋"/>
          <w:sz w:val="32"/>
          <w:szCs w:val="32"/>
        </w:rPr>
        <w:t>按照标准和规范在新建居住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、老城区</w:t>
      </w:r>
      <w:r>
        <w:rPr>
          <w:rFonts w:hint="eastAsia" w:ascii="仿宋" w:hAnsi="仿宋" w:eastAsia="仿宋" w:cs="仿宋"/>
          <w:sz w:val="32"/>
          <w:szCs w:val="32"/>
        </w:rPr>
        <w:t>已建成居住区无婴幼儿照护服务设施的，要限期通过购置、置换、租赁等方式建设，规划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鼓励以公办民营、民办公助等多种方式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完善婴幼儿照护服务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机构建设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2个方面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，明确了相关单位职责。</w:t>
      </w:r>
    </w:p>
    <w:p>
      <w:pPr>
        <w:ind w:firstLine="648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（三）培育多元化婴幼儿照护服务供给主体。</w:t>
      </w:r>
    </w:p>
    <w:p>
      <w:pPr>
        <w:ind w:firstLine="648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《方案》从</w:t>
      </w:r>
      <w:r>
        <w:rPr>
          <w:rFonts w:hint="eastAsia" w:ascii="仿宋" w:hAnsi="仿宋" w:eastAsia="仿宋" w:cs="仿宋"/>
          <w:sz w:val="32"/>
          <w:szCs w:val="32"/>
        </w:rPr>
        <w:t>加大普惠性婴幼儿照护服务机构政策支持力度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鼓励支持有条件的幼儿园提供婴幼儿照护服务，招收2—3岁的幼儿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提供全日托、半日托、计时托、临时托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服务</w:t>
      </w:r>
      <w:r>
        <w:rPr>
          <w:rFonts w:hint="eastAsia" w:ascii="仿宋" w:hAnsi="仿宋" w:eastAsia="仿宋" w:cs="仿宋"/>
          <w:sz w:val="32"/>
          <w:szCs w:val="32"/>
        </w:rPr>
        <w:t>多样化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3各方面，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涵盖了托育服务行业多元化和领域监管职责。</w:t>
      </w:r>
    </w:p>
    <w:p>
      <w:pPr>
        <w:ind w:firstLine="648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（四）规范婴幼儿照护服务机构发展。</w:t>
      </w:r>
    </w:p>
    <w:p>
      <w:pPr>
        <w:ind w:firstLine="648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《方案》从托育机构行业严格按照设置标准、按照托育机构设置性质，指定注册登记和备案机关，相关部门加强业务指导、监督检查，并建立安全管理制度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4个方面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，明确了各相关单位职责和托育机构发展规范。</w:t>
      </w:r>
    </w:p>
    <w:p>
      <w:pPr>
        <w:ind w:firstLine="648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（五）加强婴幼儿照护服务机构监督管理。</w:t>
      </w:r>
    </w:p>
    <w:p>
      <w:pPr>
        <w:ind w:firstLine="648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《方案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》从</w:t>
      </w:r>
      <w:r>
        <w:rPr>
          <w:rFonts w:hint="eastAsia" w:ascii="仿宋" w:hAnsi="仿宋" w:eastAsia="仿宋" w:cs="仿宋"/>
          <w:sz w:val="32"/>
          <w:szCs w:val="32"/>
        </w:rPr>
        <w:t>各类婴幼儿照护服务机构开展婴幼儿照护服务必须符合国家、省相关标准和规范，并对婴幼儿入托期间的安全和健康负主体责任。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明确街道办事处、金岱产业园区</w:t>
      </w:r>
      <w:r>
        <w:rPr>
          <w:rFonts w:hint="eastAsia" w:ascii="仿宋" w:hAnsi="仿宋" w:eastAsia="仿宋" w:cs="仿宋"/>
          <w:sz w:val="32"/>
          <w:szCs w:val="32"/>
        </w:rPr>
        <w:t>要按照属地管理原则对婴幼儿照护服务机构的规范发展和安全监管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负责</w:t>
      </w:r>
      <w:r>
        <w:rPr>
          <w:rFonts w:hint="eastAsia" w:ascii="仿宋" w:hAnsi="仿宋" w:eastAsia="仿宋" w:cs="仿宋"/>
          <w:sz w:val="32"/>
          <w:szCs w:val="32"/>
        </w:rPr>
        <w:t>。加大对婴幼儿照护服务市场违法违规行为的查处力度，确保各项政策措施落实到位；对虐童、性侵儿童等行为零容忍，对相关个人和直接管理人员实行终身禁入。建立健全婴幼儿照护服务机构信息公开和质量评估制度，组建婴幼儿照护服务机构评估委员会，定期组织对婴幼儿照护服务机构进行质量评估，评估结果向社会公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3各方面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进一步强化了托育服务行业监管的保障措施。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lang w:val="en-US" w:eastAsia="zh-CN"/>
        </w:rPr>
      </w:pPr>
      <w:r>
        <w:rPr>
          <w:rFonts w:hint="eastAsia" w:ascii="楷体_GB2312" w:hAnsi="仿宋_GB2312" w:eastAsia="楷体_GB2312" w:cs="楷体_GB2312"/>
          <w:color w:val="000000"/>
          <w:sz w:val="32"/>
          <w:szCs w:val="32"/>
        </w:rPr>
        <w:t>第</w:t>
      </w:r>
      <w:r>
        <w:rPr>
          <w:rFonts w:hint="eastAsia" w:ascii="楷体_GB2312" w:hAnsi="仿宋_GB2312" w:eastAsia="楷体_GB2312" w:cs="楷体_GB2312"/>
          <w:color w:val="000000"/>
          <w:sz w:val="32"/>
          <w:szCs w:val="32"/>
          <w:lang w:val="en-US" w:eastAsia="zh-CN"/>
        </w:rPr>
        <w:t>三</w:t>
      </w:r>
      <w:r>
        <w:rPr>
          <w:rFonts w:hint="eastAsia" w:ascii="楷体_GB2312" w:hAnsi="仿宋_GB2312" w:eastAsia="楷体_GB2312" w:cs="楷体_GB2312"/>
          <w:color w:val="000000"/>
          <w:sz w:val="32"/>
          <w:szCs w:val="32"/>
        </w:rPr>
        <w:t>部分是</w:t>
      </w:r>
      <w:r>
        <w:rPr>
          <w:rFonts w:hint="eastAsia" w:ascii="楷体_GB2312" w:hAnsi="仿宋_GB2312" w:eastAsia="楷体_GB2312" w:cs="楷体_GB2312"/>
          <w:color w:val="000000"/>
          <w:sz w:val="32"/>
          <w:szCs w:val="32"/>
          <w:lang w:eastAsia="zh-CN"/>
        </w:rPr>
        <w:t>保障措施：从</w:t>
      </w:r>
      <w:r>
        <w:rPr>
          <w:rFonts w:hint="eastAsia" w:ascii="仿宋" w:hAnsi="仿宋" w:eastAsia="仿宋" w:cs="仿宋"/>
          <w:sz w:val="32"/>
          <w:szCs w:val="32"/>
        </w:rPr>
        <w:t>加强政策支持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用地保障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队伍建设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信息支撑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社会支持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5个方面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，明确了各责任单位高度重视，各司其职，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按照计划推进，依据文件要求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24"/>
          <w:lang w:val="en-US" w:eastAsia="zh-CN" w:bidi="ar-SA"/>
        </w:rPr>
        <w:t>全面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开展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24"/>
          <w:lang w:val="en-US" w:eastAsia="zh-CN" w:bidi="ar-SA"/>
        </w:rPr>
        <w:t>托育服务机构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24"/>
          <w:lang w:val="en-US" w:eastAsia="zh-CN" w:bidi="ar-SA"/>
        </w:rPr>
        <w:t>建设工作</w:t>
      </w:r>
      <w:r>
        <w:rPr>
          <w:rFonts w:hint="default" w:ascii="仿宋" w:hAnsi="仿宋" w:eastAsia="仿宋"/>
          <w:color w:val="auto"/>
          <w:sz w:val="32"/>
          <w:lang w:eastAsia="zh-CN"/>
        </w:rPr>
        <w:t>。</w:t>
      </w:r>
      <w:r>
        <w:rPr>
          <w:rFonts w:hint="eastAsia" w:ascii="仿宋" w:hAnsi="仿宋" w:eastAsia="仿宋"/>
          <w:color w:val="auto"/>
          <w:sz w:val="32"/>
          <w:lang w:val="en-US" w:eastAsia="zh-CN"/>
        </w:rPr>
        <w:t xml:space="preserve">    </w:t>
      </w:r>
    </w:p>
    <w:p>
      <w:pPr>
        <w:widowControl w:val="0"/>
        <w:wordWrap/>
        <w:adjustRightInd/>
        <w:snapToGrid/>
        <w:spacing w:before="0" w:after="0" w:line="57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u w:val="none" w:color="auto"/>
          <w:lang w:eastAsia="zh-CN"/>
        </w:rPr>
      </w:pPr>
      <w:r>
        <w:rPr>
          <w:rFonts w:hint="eastAsia" w:ascii="楷体_GB2312" w:hAnsi="仿宋_GB2312" w:eastAsia="楷体_GB2312" w:cs="楷体_GB2312"/>
          <w:color w:val="000000"/>
          <w:sz w:val="32"/>
          <w:szCs w:val="32"/>
        </w:rPr>
        <w:t>第</w:t>
      </w:r>
      <w:r>
        <w:rPr>
          <w:rFonts w:hint="eastAsia" w:ascii="楷体_GB2312" w:hAnsi="仿宋_GB2312" w:eastAsia="楷体_GB2312" w:cs="楷体_GB2312"/>
          <w:color w:val="000000"/>
          <w:sz w:val="32"/>
          <w:szCs w:val="32"/>
          <w:lang w:val="en-US" w:eastAsia="zh-CN"/>
        </w:rPr>
        <w:t>四</w:t>
      </w:r>
      <w:r>
        <w:rPr>
          <w:rFonts w:hint="eastAsia" w:ascii="楷体_GB2312" w:hAnsi="仿宋_GB2312" w:eastAsia="楷体_GB2312" w:cs="楷体_GB2312"/>
          <w:color w:val="000000"/>
          <w:sz w:val="32"/>
          <w:szCs w:val="32"/>
        </w:rPr>
        <w:t>部分是</w:t>
      </w:r>
      <w:r>
        <w:rPr>
          <w:rFonts w:hint="eastAsia" w:ascii="楷体_GB2312" w:hAnsi="仿宋_GB2312" w:eastAsia="楷体_GB2312" w:cs="楷体_GB2312"/>
          <w:color w:val="000000"/>
          <w:sz w:val="32"/>
          <w:szCs w:val="32"/>
          <w:lang w:eastAsia="zh-CN"/>
        </w:rPr>
        <w:t>组织实施：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主要从加强组织领导、</w:t>
      </w:r>
      <w:r>
        <w:rPr>
          <w:rFonts w:hint="eastAsia" w:ascii="仿宋" w:hAnsi="仿宋" w:eastAsia="仿宋" w:cs="仿宋"/>
          <w:sz w:val="32"/>
          <w:szCs w:val="32"/>
        </w:rPr>
        <w:t>部门协作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和强化示范引领、宣传引导四个方面组织托育服务行业综合监管制度的实施。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、解读机关和解读人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解读机关：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管城回族卫生健康委员会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解读人：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李红武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联系方式：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86021311</w:t>
      </w:r>
    </w:p>
    <w:sectPr>
      <w:pgSz w:w="11906" w:h="16838"/>
      <w:pgMar w:top="2064" w:right="1519" w:bottom="2007" w:left="1519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altName w:val="Palatino Linotype"/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altName w:val="Lucida Sans Unicode"/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altName w:val="楷体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rowalliaUPC">
    <w:altName w:val="Microsoft Sans Serif"/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Calibri Light">
    <w:altName w:val="MV Boli"/>
    <w:panose1 w:val="020F0302020204030204"/>
    <w:charset w:val="00"/>
    <w:family w:val="auto"/>
    <w:pitch w:val="default"/>
    <w:sig w:usb0="A00002EF" w:usb1="4000207B" w:usb2="00000000" w:usb3="00000000" w:csb0="0000019F" w:csb1="00000000"/>
  </w:font>
  <w:font w:name="MV Boli">
    <w:panose1 w:val="02000500030200090000"/>
    <w:charset w:val="00"/>
    <w:family w:val="auto"/>
    <w:pitch w:val="default"/>
    <w:sig w:usb0="00000000" w:usb1="00000000" w:usb2="000001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</w:style>
  <w:style w:type="paragraph" w:styleId="2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Normal (Web)"/>
    <w:basedOn w:val="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1266</Words>
  <Characters>1313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2020-03-12T03:23:00Z</dcterms:created>
  <dc:creator>蓝色天空</dc:creator>
  <cp:lastPrinted>2020-05-14T13:57:00Z</cp:lastPrinted>
  <dcterms:modified xsi:type="dcterms:W3CDTF">2021-11-03T16:12:35Z</dcterms:modified>
  <dc:title>zq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